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Ex1.xml" ContentType="application/vnd.ms-office.chartex+xml"/>
  <Override PartName="/word/charts/chart/style1.xml" ContentType="application/vnd.ms-office.chartstyle+xml"/>
  <Override PartName="/word/charts/chart/colors1.xml" ContentType="application/vnd.ms-office.chartcolor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27C" w:rsidRPr="003C4771" w:rsidRDefault="0077027C" w:rsidP="00A36A75">
      <w:pPr>
        <w:spacing w:line="480" w:lineRule="auto"/>
        <w:jc w:val="center"/>
        <w:rPr>
          <w:szCs w:val="24"/>
        </w:rPr>
      </w:pPr>
    </w:p>
    <w:p w:rsidR="0077027C" w:rsidRPr="003C4771" w:rsidRDefault="0077027C" w:rsidP="00A36A75">
      <w:pPr>
        <w:spacing w:line="480" w:lineRule="auto"/>
        <w:jc w:val="center"/>
        <w:rPr>
          <w:szCs w:val="24"/>
        </w:rPr>
      </w:pPr>
    </w:p>
    <w:p w:rsidR="0077027C" w:rsidRPr="003C4771" w:rsidRDefault="0077027C" w:rsidP="00A36A75">
      <w:pPr>
        <w:spacing w:line="480" w:lineRule="auto"/>
        <w:jc w:val="center"/>
        <w:rPr>
          <w:szCs w:val="24"/>
        </w:rPr>
      </w:pPr>
    </w:p>
    <w:p w:rsidR="0077027C" w:rsidRPr="003C4771" w:rsidRDefault="0077027C" w:rsidP="00A36A75">
      <w:pPr>
        <w:spacing w:line="480" w:lineRule="auto"/>
        <w:jc w:val="center"/>
        <w:rPr>
          <w:szCs w:val="24"/>
        </w:rPr>
      </w:pPr>
    </w:p>
    <w:p w:rsidR="0077027C" w:rsidRPr="003C4771" w:rsidRDefault="0077027C" w:rsidP="00A36A75">
      <w:pPr>
        <w:spacing w:line="480" w:lineRule="auto"/>
        <w:jc w:val="center"/>
        <w:rPr>
          <w:szCs w:val="24"/>
        </w:rPr>
      </w:pPr>
    </w:p>
    <w:p w:rsidR="0077027C" w:rsidRPr="003C4771" w:rsidRDefault="0077027C" w:rsidP="00A36A75">
      <w:pPr>
        <w:spacing w:line="480" w:lineRule="auto"/>
        <w:jc w:val="center"/>
        <w:rPr>
          <w:szCs w:val="24"/>
        </w:rPr>
      </w:pPr>
    </w:p>
    <w:p w:rsidR="00264C17" w:rsidRPr="003C4771" w:rsidRDefault="004E462A" w:rsidP="00A36A75">
      <w:pPr>
        <w:spacing w:line="480" w:lineRule="auto"/>
        <w:jc w:val="center"/>
        <w:rPr>
          <w:szCs w:val="24"/>
        </w:rPr>
      </w:pPr>
      <w:r w:rsidRPr="003C4771">
        <w:rPr>
          <w:szCs w:val="24"/>
        </w:rPr>
        <w:t>Report</w:t>
      </w:r>
      <w:r w:rsidR="00EA1478" w:rsidRPr="003C4771">
        <w:rPr>
          <w:szCs w:val="24"/>
        </w:rPr>
        <w:t xml:space="preserve"> on Consumption in the United States</w:t>
      </w:r>
    </w:p>
    <w:p w:rsidR="006E1482" w:rsidRPr="003C4771" w:rsidRDefault="004E462A" w:rsidP="00A36A75">
      <w:pPr>
        <w:spacing w:line="480" w:lineRule="auto"/>
        <w:jc w:val="center"/>
        <w:rPr>
          <w:szCs w:val="24"/>
        </w:rPr>
      </w:pPr>
      <w:r w:rsidRPr="003C4771">
        <w:rPr>
          <w:szCs w:val="24"/>
        </w:rPr>
        <w:t>Student Name Here</w:t>
      </w:r>
    </w:p>
    <w:p w:rsidR="006E1482" w:rsidRPr="003C4771" w:rsidRDefault="004E462A" w:rsidP="00A36A75">
      <w:pPr>
        <w:spacing w:line="480" w:lineRule="auto"/>
        <w:jc w:val="center"/>
        <w:rPr>
          <w:szCs w:val="24"/>
        </w:rPr>
      </w:pPr>
      <w:r w:rsidRPr="003C4771">
        <w:rPr>
          <w:szCs w:val="24"/>
        </w:rPr>
        <w:t>Institution</w:t>
      </w:r>
    </w:p>
    <w:p w:rsidR="006E1482" w:rsidRPr="003C4771" w:rsidRDefault="006E1482" w:rsidP="00A36A75">
      <w:pPr>
        <w:spacing w:line="480" w:lineRule="auto"/>
        <w:jc w:val="center"/>
        <w:rPr>
          <w:szCs w:val="24"/>
        </w:rPr>
      </w:pPr>
    </w:p>
    <w:p w:rsidR="006E1482" w:rsidRPr="003C4771" w:rsidRDefault="006E1482" w:rsidP="00A36A75">
      <w:pPr>
        <w:spacing w:line="480" w:lineRule="auto"/>
        <w:jc w:val="center"/>
        <w:rPr>
          <w:szCs w:val="24"/>
        </w:rPr>
      </w:pPr>
    </w:p>
    <w:p w:rsidR="006E1482" w:rsidRPr="003C4771" w:rsidRDefault="006E1482" w:rsidP="00A36A75">
      <w:pPr>
        <w:spacing w:line="480" w:lineRule="auto"/>
        <w:jc w:val="center"/>
        <w:rPr>
          <w:szCs w:val="24"/>
        </w:rPr>
      </w:pPr>
    </w:p>
    <w:p w:rsidR="006E1482" w:rsidRPr="003C4771" w:rsidRDefault="006E1482" w:rsidP="00A36A75">
      <w:pPr>
        <w:spacing w:line="480" w:lineRule="auto"/>
        <w:rPr>
          <w:szCs w:val="24"/>
        </w:rPr>
      </w:pPr>
    </w:p>
    <w:p w:rsidR="00A36A75" w:rsidRDefault="00A36A75">
      <w:pPr>
        <w:widowControl/>
        <w:spacing w:after="160" w:line="259" w:lineRule="auto"/>
        <w:contextualSpacing w:val="0"/>
        <w:jc w:val="left"/>
        <w:rPr>
          <w:szCs w:val="24"/>
        </w:rPr>
      </w:pPr>
      <w:r>
        <w:rPr>
          <w:szCs w:val="24"/>
        </w:rPr>
        <w:br w:type="page"/>
      </w:r>
    </w:p>
    <w:p w:rsidR="00A36A75" w:rsidRPr="003C4771" w:rsidRDefault="00A36A75" w:rsidP="00A36A75">
      <w:pPr>
        <w:spacing w:line="480" w:lineRule="auto"/>
        <w:jc w:val="center"/>
        <w:rPr>
          <w:szCs w:val="24"/>
        </w:rPr>
      </w:pPr>
      <w:bookmarkStart w:id="0" w:name="_GoBack"/>
      <w:bookmarkEnd w:id="0"/>
      <w:r w:rsidRPr="003C4771">
        <w:rPr>
          <w:szCs w:val="24"/>
        </w:rPr>
        <w:lastRenderedPageBreak/>
        <w:t>Report on Consumption in the United States</w:t>
      </w:r>
    </w:p>
    <w:p w:rsidR="006E1482" w:rsidRPr="003C4771" w:rsidRDefault="004E462A" w:rsidP="00A36A75">
      <w:pPr>
        <w:pStyle w:val="APALevel1"/>
        <w:spacing w:before="0"/>
      </w:pPr>
      <w:r w:rsidRPr="003C4771">
        <w:t>Introduction</w:t>
      </w:r>
    </w:p>
    <w:p w:rsidR="000F0EEC" w:rsidRPr="003C4771" w:rsidRDefault="004E462A" w:rsidP="00A36A75">
      <w:pPr>
        <w:pStyle w:val="BodyText"/>
        <w:spacing w:after="0" w:line="480" w:lineRule="auto"/>
        <w:ind w:firstLine="720"/>
        <w:rPr>
          <w:szCs w:val="24"/>
          <w:lang w:eastAsia="en-US"/>
        </w:rPr>
      </w:pPr>
      <w:r w:rsidRPr="003C4771">
        <w:rPr>
          <w:szCs w:val="24"/>
          <w:lang w:eastAsia="en-US"/>
        </w:rPr>
        <w:t xml:space="preserve">This research paper aimed at </w:t>
      </w:r>
      <w:r w:rsidR="000E21DE" w:rsidRPr="003C4771">
        <w:rPr>
          <w:szCs w:val="24"/>
          <w:lang w:eastAsia="en-US"/>
        </w:rPr>
        <w:t>determining</w:t>
      </w:r>
      <w:r w:rsidRPr="003C4771">
        <w:rPr>
          <w:szCs w:val="24"/>
          <w:lang w:eastAsia="en-US"/>
        </w:rPr>
        <w:t xml:space="preserve"> the distribution of </w:t>
      </w:r>
      <w:r w:rsidRPr="003C4771">
        <w:rPr>
          <w:bCs/>
          <w:szCs w:val="24"/>
          <w:lang w:eastAsia="en-US"/>
        </w:rPr>
        <w:t>annual food spending, annual household income, non-mortgage household debt</w:t>
      </w:r>
      <w:r w:rsidR="000E21DE" w:rsidRPr="003C4771">
        <w:rPr>
          <w:bCs/>
          <w:szCs w:val="24"/>
          <w:lang w:eastAsia="en-US"/>
        </w:rPr>
        <w:t xml:space="preserve"> </w:t>
      </w:r>
      <w:r w:rsidR="00D90313" w:rsidRPr="003C4771">
        <w:rPr>
          <w:bCs/>
          <w:szCs w:val="24"/>
          <w:lang w:eastAsia="en-US"/>
        </w:rPr>
        <w:t>by</w:t>
      </w:r>
      <w:r w:rsidR="000E21DE" w:rsidRPr="003C4771">
        <w:rPr>
          <w:bCs/>
          <w:szCs w:val="24"/>
          <w:lang w:eastAsia="en-US"/>
        </w:rPr>
        <w:t xml:space="preserve"> </w:t>
      </w:r>
      <w:r w:rsidR="000E21DE" w:rsidRPr="003C4771">
        <w:rPr>
          <w:bCs/>
          <w:szCs w:val="24"/>
        </w:rPr>
        <w:t>geographic regions</w:t>
      </w:r>
      <w:r w:rsidR="00353A8F" w:rsidRPr="003C4771">
        <w:rPr>
          <w:bCs/>
          <w:szCs w:val="24"/>
        </w:rPr>
        <w:t xml:space="preserve"> of the United </w:t>
      </w:r>
      <w:r w:rsidR="000E21DE" w:rsidRPr="003C4771">
        <w:rPr>
          <w:bCs/>
          <w:szCs w:val="24"/>
        </w:rPr>
        <w:t>S</w:t>
      </w:r>
      <w:r w:rsidR="00353A8F" w:rsidRPr="003C4771">
        <w:rPr>
          <w:bCs/>
          <w:szCs w:val="24"/>
        </w:rPr>
        <w:t>tates (U.S.)</w:t>
      </w:r>
      <w:r w:rsidR="000E21DE" w:rsidRPr="003C4771">
        <w:rPr>
          <w:bCs/>
          <w:szCs w:val="24"/>
        </w:rPr>
        <w:t xml:space="preserve"> and household location.</w:t>
      </w:r>
      <w:r w:rsidR="00D90313" w:rsidRPr="003C4771">
        <w:rPr>
          <w:bCs/>
          <w:szCs w:val="24"/>
        </w:rPr>
        <w:t xml:space="preserve"> </w:t>
      </w:r>
      <w:r w:rsidR="00ED3A2B" w:rsidRPr="003C4771">
        <w:rPr>
          <w:bCs/>
          <w:szCs w:val="24"/>
        </w:rPr>
        <w:t>Based on this study</w:t>
      </w:r>
      <w:r w:rsidR="001E70A6" w:rsidRPr="003C4771">
        <w:rPr>
          <w:bCs/>
          <w:szCs w:val="24"/>
        </w:rPr>
        <w:t>,</w:t>
      </w:r>
      <w:r w:rsidR="00ED3A2B" w:rsidRPr="003C4771">
        <w:rPr>
          <w:bCs/>
          <w:szCs w:val="24"/>
        </w:rPr>
        <w:t xml:space="preserve"> four geographic regions of the U.S. namely; the Northeast, the Midwest, South, and the West </w:t>
      </w:r>
      <w:r w:rsidR="001E70A6" w:rsidRPr="003C4771">
        <w:rPr>
          <w:bCs/>
          <w:szCs w:val="24"/>
        </w:rPr>
        <w:t xml:space="preserve">region was under consideration while </w:t>
      </w:r>
      <w:r w:rsidR="00BC6DF5" w:rsidRPr="003C4771">
        <w:rPr>
          <w:bCs/>
          <w:szCs w:val="24"/>
        </w:rPr>
        <w:t>the c</w:t>
      </w:r>
      <w:r w:rsidR="00ED3A2B" w:rsidRPr="003C4771">
        <w:rPr>
          <w:bCs/>
          <w:szCs w:val="24"/>
        </w:rPr>
        <w:t xml:space="preserve">lassification </w:t>
      </w:r>
      <w:r w:rsidR="00046CB7" w:rsidRPr="003C4771">
        <w:rPr>
          <w:bCs/>
          <w:szCs w:val="24"/>
        </w:rPr>
        <w:t>of</w:t>
      </w:r>
      <w:r w:rsidR="00ED3A2B" w:rsidRPr="003C4771">
        <w:rPr>
          <w:bCs/>
          <w:szCs w:val="24"/>
        </w:rPr>
        <w:t xml:space="preserve"> households </w:t>
      </w:r>
      <w:r w:rsidR="00046CB7" w:rsidRPr="003C4771">
        <w:rPr>
          <w:bCs/>
          <w:szCs w:val="24"/>
        </w:rPr>
        <w:t xml:space="preserve">by location was </w:t>
      </w:r>
      <w:r w:rsidR="00ED3A2B" w:rsidRPr="003C4771">
        <w:rPr>
          <w:bCs/>
          <w:szCs w:val="24"/>
        </w:rPr>
        <w:t>into two categories, either in a metro area and those households outside metro areas.</w:t>
      </w:r>
      <w:r w:rsidR="00483480" w:rsidRPr="003C4771">
        <w:rPr>
          <w:bCs/>
          <w:szCs w:val="24"/>
        </w:rPr>
        <w:t xml:space="preserve"> Data analysis was carried out using excel. </w:t>
      </w:r>
    </w:p>
    <w:p w:rsidR="006E1482" w:rsidRPr="003C4771" w:rsidRDefault="004E462A" w:rsidP="00A36A75">
      <w:pPr>
        <w:pStyle w:val="APALevel1"/>
        <w:spacing w:before="0"/>
      </w:pPr>
      <w:r w:rsidRPr="003C4771">
        <w:t>Objectives of the study</w:t>
      </w:r>
    </w:p>
    <w:p w:rsidR="006E1482" w:rsidRPr="003C4771" w:rsidRDefault="004E462A" w:rsidP="00A36A75">
      <w:pPr>
        <w:pStyle w:val="BodyText"/>
        <w:numPr>
          <w:ilvl w:val="0"/>
          <w:numId w:val="9"/>
        </w:numPr>
        <w:spacing w:after="0" w:line="480" w:lineRule="auto"/>
        <w:rPr>
          <w:szCs w:val="24"/>
          <w:lang w:eastAsia="en-US"/>
        </w:rPr>
      </w:pPr>
      <w:r w:rsidRPr="003C4771">
        <w:rPr>
          <w:bCs/>
          <w:szCs w:val="24"/>
          <w:lang w:eastAsia="en-US"/>
        </w:rPr>
        <w:t>To determine if the average annual food spending for a household in the Midwest region</w:t>
      </w:r>
      <w:r w:rsidRPr="003C4771">
        <w:rPr>
          <w:bCs/>
          <w:szCs w:val="24"/>
          <w:lang w:eastAsia="en-US"/>
        </w:rPr>
        <w:t xml:space="preserve"> of the U.S. is more than $8,000.</w:t>
      </w:r>
    </w:p>
    <w:p w:rsidR="006E1482" w:rsidRPr="003C4771" w:rsidRDefault="004E462A" w:rsidP="00A36A75">
      <w:pPr>
        <w:pStyle w:val="BodyText"/>
        <w:numPr>
          <w:ilvl w:val="0"/>
          <w:numId w:val="9"/>
        </w:numPr>
        <w:spacing w:after="0" w:line="480" w:lineRule="auto"/>
        <w:rPr>
          <w:szCs w:val="24"/>
          <w:lang w:eastAsia="en-US"/>
        </w:rPr>
      </w:pPr>
      <w:r w:rsidRPr="003C4771">
        <w:rPr>
          <w:bCs/>
          <w:szCs w:val="24"/>
          <w:lang w:eastAsia="en-US"/>
        </w:rPr>
        <w:t>To determine if there is a significant difference between households in a metro area and households outside metro areas in annual food spending.</w:t>
      </w:r>
    </w:p>
    <w:p w:rsidR="006E1482" w:rsidRPr="003C4771" w:rsidRDefault="004E462A" w:rsidP="00A36A75">
      <w:pPr>
        <w:pStyle w:val="BodyText"/>
        <w:numPr>
          <w:ilvl w:val="0"/>
          <w:numId w:val="9"/>
        </w:numPr>
        <w:spacing w:after="0" w:line="480" w:lineRule="auto"/>
        <w:rPr>
          <w:szCs w:val="24"/>
          <w:lang w:eastAsia="en-US"/>
        </w:rPr>
      </w:pPr>
      <w:r w:rsidRPr="003C4771">
        <w:rPr>
          <w:szCs w:val="24"/>
          <w:lang w:eastAsia="en-US"/>
        </w:rPr>
        <w:t>To dete</w:t>
      </w:r>
      <w:r w:rsidR="007857C1" w:rsidRPr="003C4771">
        <w:rPr>
          <w:szCs w:val="24"/>
          <w:lang w:eastAsia="en-US"/>
        </w:rPr>
        <w:t>rmine if there is a significant</w:t>
      </w:r>
      <w:r w:rsidRPr="003C4771">
        <w:rPr>
          <w:szCs w:val="24"/>
          <w:lang w:eastAsia="en-US"/>
        </w:rPr>
        <w:t xml:space="preserve"> difference between </w:t>
      </w:r>
      <w:r w:rsidRPr="003C4771">
        <w:rPr>
          <w:bCs/>
          <w:szCs w:val="24"/>
          <w:lang w:eastAsia="en-US"/>
        </w:rPr>
        <w:t>Annual Food Spendin</w:t>
      </w:r>
      <w:r w:rsidRPr="003C4771">
        <w:rPr>
          <w:bCs/>
          <w:szCs w:val="24"/>
          <w:lang w:eastAsia="en-US"/>
        </w:rPr>
        <w:t xml:space="preserve">g, Annual Household Income, Non-Mortgage Household Debt in the four Geographic Region of the U.S. </w:t>
      </w:r>
    </w:p>
    <w:p w:rsidR="006E1482" w:rsidRPr="003C4771" w:rsidRDefault="004E462A" w:rsidP="00A36A75">
      <w:pPr>
        <w:pStyle w:val="APALevel1"/>
        <w:spacing w:before="0"/>
      </w:pPr>
      <w:r w:rsidRPr="003C4771">
        <w:t>Research Questions</w:t>
      </w:r>
    </w:p>
    <w:p w:rsidR="00A154C8" w:rsidRPr="003C4771" w:rsidRDefault="004E462A" w:rsidP="00A36A75">
      <w:pPr>
        <w:pStyle w:val="BodyText"/>
        <w:numPr>
          <w:ilvl w:val="0"/>
          <w:numId w:val="10"/>
        </w:numPr>
        <w:spacing w:after="0" w:line="480" w:lineRule="auto"/>
        <w:rPr>
          <w:szCs w:val="24"/>
          <w:lang w:eastAsia="en-US"/>
        </w:rPr>
      </w:pPr>
      <w:r w:rsidRPr="003C4771">
        <w:rPr>
          <w:szCs w:val="24"/>
          <w:lang w:eastAsia="en-US"/>
        </w:rPr>
        <w:t xml:space="preserve">How does </w:t>
      </w:r>
      <w:r w:rsidRPr="003C4771">
        <w:rPr>
          <w:bCs/>
          <w:szCs w:val="24"/>
          <w:lang w:eastAsia="en-US"/>
        </w:rPr>
        <w:t>the average annual food spending for a household in the Midwest region of the U.S. differ from $8,000?</w:t>
      </w:r>
    </w:p>
    <w:p w:rsidR="00A154C8" w:rsidRPr="003C4771" w:rsidRDefault="004E462A" w:rsidP="00A36A75">
      <w:pPr>
        <w:pStyle w:val="BodyText"/>
        <w:numPr>
          <w:ilvl w:val="0"/>
          <w:numId w:val="10"/>
        </w:numPr>
        <w:spacing w:after="0" w:line="480" w:lineRule="auto"/>
        <w:rPr>
          <w:szCs w:val="24"/>
          <w:lang w:eastAsia="en-US"/>
        </w:rPr>
      </w:pPr>
      <w:r w:rsidRPr="003C4771">
        <w:rPr>
          <w:szCs w:val="24"/>
          <w:lang w:eastAsia="en-US"/>
        </w:rPr>
        <w:t xml:space="preserve">How does the </w:t>
      </w:r>
      <w:r w:rsidRPr="003C4771">
        <w:rPr>
          <w:bCs/>
          <w:szCs w:val="24"/>
          <w:lang w:eastAsia="en-US"/>
        </w:rPr>
        <w:t>annual food s</w:t>
      </w:r>
      <w:r w:rsidRPr="003C4771">
        <w:rPr>
          <w:bCs/>
          <w:szCs w:val="24"/>
          <w:lang w:eastAsia="en-US"/>
        </w:rPr>
        <w:t>pending amongst households in a metro area and households outside metro areas differ?</w:t>
      </w:r>
    </w:p>
    <w:p w:rsidR="00A154C8" w:rsidRPr="003C4771" w:rsidRDefault="004E462A" w:rsidP="00A36A75">
      <w:pPr>
        <w:pStyle w:val="BodyText"/>
        <w:numPr>
          <w:ilvl w:val="0"/>
          <w:numId w:val="9"/>
        </w:numPr>
        <w:spacing w:after="0" w:line="480" w:lineRule="auto"/>
        <w:rPr>
          <w:szCs w:val="24"/>
          <w:lang w:eastAsia="en-US"/>
        </w:rPr>
      </w:pPr>
      <w:r w:rsidRPr="003C4771">
        <w:rPr>
          <w:szCs w:val="24"/>
          <w:lang w:eastAsia="en-US"/>
        </w:rPr>
        <w:t xml:space="preserve">How do the </w:t>
      </w:r>
      <w:r w:rsidR="00733E82" w:rsidRPr="003C4771">
        <w:rPr>
          <w:bCs/>
          <w:szCs w:val="24"/>
          <w:lang w:eastAsia="en-US"/>
        </w:rPr>
        <w:t>annual food spending</w:t>
      </w:r>
      <w:r w:rsidRPr="003C4771">
        <w:rPr>
          <w:bCs/>
          <w:szCs w:val="24"/>
          <w:lang w:eastAsia="en-US"/>
        </w:rPr>
        <w:t xml:space="preserve">, </w:t>
      </w:r>
      <w:r w:rsidR="00733E82" w:rsidRPr="003C4771">
        <w:rPr>
          <w:bCs/>
          <w:szCs w:val="24"/>
          <w:lang w:eastAsia="en-US"/>
        </w:rPr>
        <w:t>a</w:t>
      </w:r>
      <w:r w:rsidRPr="003C4771">
        <w:rPr>
          <w:bCs/>
          <w:szCs w:val="24"/>
          <w:lang w:eastAsia="en-US"/>
        </w:rPr>
        <w:t xml:space="preserve">nnual </w:t>
      </w:r>
      <w:r w:rsidR="00733E82" w:rsidRPr="003C4771">
        <w:rPr>
          <w:bCs/>
          <w:szCs w:val="24"/>
          <w:lang w:eastAsia="en-US"/>
        </w:rPr>
        <w:t>household i</w:t>
      </w:r>
      <w:r w:rsidRPr="003C4771">
        <w:rPr>
          <w:bCs/>
          <w:szCs w:val="24"/>
          <w:lang w:eastAsia="en-US"/>
        </w:rPr>
        <w:t>ncome, and</w:t>
      </w:r>
      <w:r w:rsidR="00733E82" w:rsidRPr="003C4771">
        <w:rPr>
          <w:bCs/>
          <w:szCs w:val="24"/>
          <w:lang w:eastAsia="en-US"/>
        </w:rPr>
        <w:t xml:space="preserve"> non-mortgage household </w:t>
      </w:r>
      <w:r w:rsidR="00733E82" w:rsidRPr="003C4771">
        <w:rPr>
          <w:bCs/>
          <w:szCs w:val="24"/>
          <w:lang w:eastAsia="en-US"/>
        </w:rPr>
        <w:lastRenderedPageBreak/>
        <w:t>d</w:t>
      </w:r>
      <w:r w:rsidRPr="003C4771">
        <w:rPr>
          <w:bCs/>
          <w:szCs w:val="24"/>
          <w:lang w:eastAsia="en-US"/>
        </w:rPr>
        <w:t xml:space="preserve">ebt differ in the four </w:t>
      </w:r>
      <w:r w:rsidR="00733E82" w:rsidRPr="003C4771">
        <w:rPr>
          <w:bCs/>
          <w:szCs w:val="24"/>
          <w:lang w:eastAsia="en-US"/>
        </w:rPr>
        <w:t>geographic r</w:t>
      </w:r>
      <w:r w:rsidRPr="003C4771">
        <w:rPr>
          <w:bCs/>
          <w:szCs w:val="24"/>
          <w:lang w:eastAsia="en-US"/>
        </w:rPr>
        <w:t>egions of the U.S.?</w:t>
      </w:r>
    </w:p>
    <w:p w:rsidR="00620D79" w:rsidRPr="003C4771" w:rsidRDefault="004E462A" w:rsidP="00A36A75">
      <w:pPr>
        <w:pStyle w:val="APALevel1"/>
        <w:spacing w:before="0"/>
      </w:pPr>
      <w:r w:rsidRPr="003C4771">
        <w:t>Population and the sample siz</w:t>
      </w:r>
      <w:r w:rsidRPr="003C4771">
        <w:t>e</w:t>
      </w:r>
    </w:p>
    <w:p w:rsidR="00EE0665" w:rsidRPr="003C4771" w:rsidRDefault="004E462A" w:rsidP="00A36A75">
      <w:pPr>
        <w:pStyle w:val="BodyText"/>
        <w:spacing w:after="0" w:line="480" w:lineRule="auto"/>
        <w:ind w:firstLine="720"/>
        <w:rPr>
          <w:bCs/>
          <w:szCs w:val="24"/>
        </w:rPr>
      </w:pPr>
      <w:r w:rsidRPr="003C4771">
        <w:rPr>
          <w:szCs w:val="24"/>
          <w:lang w:eastAsia="en-US"/>
        </w:rPr>
        <w:t xml:space="preserve">The population of the </w:t>
      </w:r>
      <w:r w:rsidR="00985213" w:rsidRPr="003C4771">
        <w:rPr>
          <w:szCs w:val="24"/>
          <w:lang w:eastAsia="en-US"/>
        </w:rPr>
        <w:t xml:space="preserve">study consisted of all data on </w:t>
      </w:r>
      <w:r w:rsidR="00323C11" w:rsidRPr="003C4771">
        <w:rPr>
          <w:bCs/>
          <w:szCs w:val="24"/>
          <w:lang w:eastAsia="en-US"/>
        </w:rPr>
        <w:t>annual food spending</w:t>
      </w:r>
      <w:r w:rsidR="00323C11" w:rsidRPr="003C4771">
        <w:rPr>
          <w:bCs/>
          <w:szCs w:val="24"/>
        </w:rPr>
        <w:t xml:space="preserve"> </w:t>
      </w:r>
      <w:r w:rsidR="00985213" w:rsidRPr="003C4771">
        <w:rPr>
          <w:bCs/>
          <w:szCs w:val="24"/>
        </w:rPr>
        <w:t xml:space="preserve">per Household, </w:t>
      </w:r>
      <w:r w:rsidR="00323C11" w:rsidRPr="003C4771">
        <w:rPr>
          <w:bCs/>
          <w:szCs w:val="24"/>
          <w:lang w:eastAsia="en-US"/>
        </w:rPr>
        <w:t>annual household income</w:t>
      </w:r>
      <w:r w:rsidR="00985213" w:rsidRPr="003C4771">
        <w:rPr>
          <w:bCs/>
          <w:szCs w:val="24"/>
        </w:rPr>
        <w:t xml:space="preserve">, the </w:t>
      </w:r>
      <w:r w:rsidR="00323C11" w:rsidRPr="003C4771">
        <w:rPr>
          <w:bCs/>
          <w:szCs w:val="24"/>
          <w:lang w:eastAsia="en-US"/>
        </w:rPr>
        <w:t>non-mortgage household debt</w:t>
      </w:r>
      <w:r w:rsidR="00323C11" w:rsidRPr="003C4771">
        <w:rPr>
          <w:bCs/>
          <w:szCs w:val="24"/>
        </w:rPr>
        <w:t xml:space="preserve"> </w:t>
      </w:r>
      <w:r w:rsidR="00985213" w:rsidRPr="003C4771">
        <w:rPr>
          <w:bCs/>
          <w:szCs w:val="24"/>
        </w:rPr>
        <w:t xml:space="preserve">of </w:t>
      </w:r>
      <w:r w:rsidR="00C3719C" w:rsidRPr="003C4771">
        <w:rPr>
          <w:bCs/>
          <w:szCs w:val="24"/>
        </w:rPr>
        <w:t xml:space="preserve">all </w:t>
      </w:r>
      <w:r w:rsidR="00985213" w:rsidRPr="003C4771">
        <w:rPr>
          <w:bCs/>
          <w:szCs w:val="24"/>
        </w:rPr>
        <w:t>households in the U.S. by their Geographic Region and Household Location.</w:t>
      </w:r>
      <w:r w:rsidRPr="003C4771">
        <w:rPr>
          <w:bCs/>
          <w:szCs w:val="24"/>
        </w:rPr>
        <w:t xml:space="preserve">  A random sample of 200 households was drawn </w:t>
      </w:r>
      <w:r w:rsidR="00C3719C" w:rsidRPr="003C4771">
        <w:rPr>
          <w:bCs/>
          <w:szCs w:val="24"/>
        </w:rPr>
        <w:t>from t</w:t>
      </w:r>
      <w:r w:rsidR="00F21A6D" w:rsidRPr="003C4771">
        <w:rPr>
          <w:bCs/>
          <w:szCs w:val="24"/>
        </w:rPr>
        <w:t xml:space="preserve">he population to be used in various statistical analysis and hence making inferences from the research findings.  </w:t>
      </w:r>
    </w:p>
    <w:p w:rsidR="00CA72EA" w:rsidRPr="003C4771" w:rsidRDefault="004E462A" w:rsidP="00A36A75">
      <w:pPr>
        <w:pStyle w:val="APALevel1"/>
        <w:spacing w:before="0"/>
      </w:pPr>
      <w:r w:rsidRPr="003C4771">
        <w:t>Variables, Type of Data and Level of Measurement</w:t>
      </w:r>
    </w:p>
    <w:p w:rsidR="00CA72EA" w:rsidRPr="003C4771" w:rsidRDefault="004E462A" w:rsidP="00A36A75">
      <w:pPr>
        <w:pStyle w:val="BodyText"/>
        <w:spacing w:after="0" w:line="480" w:lineRule="auto"/>
        <w:ind w:firstLine="720"/>
        <w:rPr>
          <w:bCs/>
          <w:szCs w:val="24"/>
        </w:rPr>
      </w:pPr>
      <w:r w:rsidRPr="003C4771">
        <w:rPr>
          <w:bCs/>
          <w:szCs w:val="24"/>
        </w:rPr>
        <w:t>The variables Annual Food Spending per H</w:t>
      </w:r>
      <w:r w:rsidRPr="003C4771">
        <w:rPr>
          <w:bCs/>
          <w:szCs w:val="24"/>
        </w:rPr>
        <w:t>ousehold, Annual Household Income and Non-Mortgage Household Debt are all continuous variables hence have quantitative data whose level of measurement is scale. Both Geographic Region in the U.S. and Household Location in the U.S. are categorical variables</w:t>
      </w:r>
      <w:r w:rsidRPr="003C4771">
        <w:rPr>
          <w:bCs/>
          <w:szCs w:val="24"/>
        </w:rPr>
        <w:t xml:space="preserve"> thus have qualitative da</w:t>
      </w:r>
      <w:r w:rsidR="00404104" w:rsidRPr="003C4771">
        <w:rPr>
          <w:bCs/>
          <w:szCs w:val="24"/>
        </w:rPr>
        <w:t>ta whose level of measurement is</w:t>
      </w:r>
      <w:r w:rsidRPr="003C4771">
        <w:rPr>
          <w:bCs/>
          <w:szCs w:val="24"/>
        </w:rPr>
        <w:t xml:space="preserve"> </w:t>
      </w:r>
      <w:r w:rsidR="00441FFE" w:rsidRPr="003C4771">
        <w:rPr>
          <w:bCs/>
          <w:szCs w:val="24"/>
        </w:rPr>
        <w:t>Nominal</w:t>
      </w:r>
      <w:r w:rsidRPr="003C4771">
        <w:rPr>
          <w:bCs/>
          <w:szCs w:val="24"/>
        </w:rPr>
        <w:t xml:space="preserve">. </w:t>
      </w:r>
      <w:r w:rsidR="00443C7E" w:rsidRPr="003C4771">
        <w:rPr>
          <w:bCs/>
          <w:szCs w:val="24"/>
        </w:rPr>
        <w:t>Households are divided into four Geographic Region namely; the Northeast, the Midwest</w:t>
      </w:r>
      <w:r w:rsidR="0003503E" w:rsidRPr="003C4771">
        <w:rPr>
          <w:bCs/>
          <w:szCs w:val="24"/>
        </w:rPr>
        <w:t>,</w:t>
      </w:r>
      <w:r w:rsidR="00443C7E" w:rsidRPr="003C4771">
        <w:rPr>
          <w:bCs/>
          <w:szCs w:val="24"/>
        </w:rPr>
        <w:t xml:space="preserve"> </w:t>
      </w:r>
      <w:r w:rsidR="0003503E" w:rsidRPr="003C4771">
        <w:rPr>
          <w:bCs/>
          <w:szCs w:val="24"/>
        </w:rPr>
        <w:t>South</w:t>
      </w:r>
      <w:r w:rsidR="00443C7E" w:rsidRPr="003C4771">
        <w:rPr>
          <w:bCs/>
          <w:szCs w:val="24"/>
        </w:rPr>
        <w:t>, and the West</w:t>
      </w:r>
      <w:r w:rsidR="0003503E" w:rsidRPr="003C4771">
        <w:rPr>
          <w:bCs/>
          <w:szCs w:val="24"/>
        </w:rPr>
        <w:t xml:space="preserve">. Further households are divided into two categories by location, either in a metro area and </w:t>
      </w:r>
      <w:r w:rsidR="00915840" w:rsidRPr="003C4771">
        <w:rPr>
          <w:bCs/>
          <w:szCs w:val="24"/>
        </w:rPr>
        <w:t xml:space="preserve">those </w:t>
      </w:r>
      <w:r w:rsidR="0003503E" w:rsidRPr="003C4771">
        <w:rPr>
          <w:bCs/>
          <w:szCs w:val="24"/>
        </w:rPr>
        <w:t>households outside metro areas</w:t>
      </w:r>
      <w:r w:rsidR="00915840" w:rsidRPr="003C4771">
        <w:rPr>
          <w:bCs/>
          <w:szCs w:val="24"/>
        </w:rPr>
        <w:t>.</w:t>
      </w:r>
    </w:p>
    <w:p w:rsidR="00055CEC" w:rsidRPr="003C4771" w:rsidRDefault="004E462A" w:rsidP="00A36A75">
      <w:pPr>
        <w:pStyle w:val="APALevel1"/>
        <w:spacing w:before="0"/>
      </w:pPr>
      <w:r w:rsidRPr="003C4771">
        <w:lastRenderedPageBreak/>
        <w:t>Descriptive Statistics</w:t>
      </w:r>
    </w:p>
    <w:p w:rsidR="00055CEC" w:rsidRPr="003C4771" w:rsidRDefault="004E462A" w:rsidP="00A36A75">
      <w:pPr>
        <w:pStyle w:val="BodyText"/>
        <w:spacing w:after="0" w:line="480" w:lineRule="auto"/>
        <w:rPr>
          <w:bCs/>
          <w:szCs w:val="24"/>
        </w:rPr>
      </w:pPr>
      <w:r w:rsidRPr="003C4771">
        <w:rPr>
          <w:bCs/>
          <w:noProof/>
          <w:szCs w:val="24"/>
          <w:lang w:eastAsia="en-US"/>
        </w:rPr>
        <w:drawing>
          <wp:inline distT="0" distB="0" distL="0" distR="0">
            <wp:extent cx="5943600" cy="34283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126867" name="New Descriptives.PNG"/>
                    <pic:cNvPicPr/>
                  </pic:nvPicPr>
                  <pic:blipFill>
                    <a:blip r:embed="rId7">
                      <a:extLst>
                        <a:ext uri="{28A0092B-C50C-407E-A947-70E740481C1C}">
                          <a14:useLocalDpi xmlns:a14="http://schemas.microsoft.com/office/drawing/2010/main" val="0"/>
                        </a:ext>
                      </a:extLst>
                    </a:blip>
                    <a:stretch>
                      <a:fillRect/>
                    </a:stretch>
                  </pic:blipFill>
                  <pic:spPr>
                    <a:xfrm>
                      <a:off x="0" y="0"/>
                      <a:ext cx="5943600" cy="3428365"/>
                    </a:xfrm>
                    <a:prstGeom prst="rect">
                      <a:avLst/>
                    </a:prstGeom>
                  </pic:spPr>
                </pic:pic>
              </a:graphicData>
            </a:graphic>
          </wp:inline>
        </w:drawing>
      </w:r>
    </w:p>
    <w:p w:rsidR="00A6558B" w:rsidRPr="003C4771" w:rsidRDefault="004E462A" w:rsidP="00A36A75">
      <w:pPr>
        <w:pStyle w:val="BodyText"/>
        <w:spacing w:after="0" w:line="480" w:lineRule="auto"/>
        <w:ind w:firstLine="720"/>
        <w:rPr>
          <w:szCs w:val="24"/>
          <w:lang w:eastAsia="en-US"/>
        </w:rPr>
      </w:pPr>
      <w:r w:rsidRPr="003C4771">
        <w:rPr>
          <w:szCs w:val="24"/>
          <w:lang w:eastAsia="en-US"/>
        </w:rPr>
        <w:t>From table 1, the mean, median and the mode annual food spending is $</w:t>
      </w:r>
      <w:r w:rsidR="00A721B9" w:rsidRPr="003C4771">
        <w:rPr>
          <w:szCs w:val="24"/>
          <w:lang w:eastAsia="en-US"/>
        </w:rPr>
        <w:t>9866.07</w:t>
      </w:r>
      <w:r w:rsidRPr="003C4771">
        <w:rPr>
          <w:szCs w:val="24"/>
          <w:lang w:eastAsia="en-US"/>
        </w:rPr>
        <w:t xml:space="preserve">, $8932 and $6314 respectively. </w:t>
      </w:r>
      <w:r w:rsidR="00A721B9" w:rsidRPr="003C4771">
        <w:rPr>
          <w:szCs w:val="24"/>
          <w:lang w:eastAsia="en-US"/>
        </w:rPr>
        <w:t>The range of annual food spending is $15153. Its standard deviation and variance are $3125.01</w:t>
      </w:r>
      <w:r w:rsidR="00326D07" w:rsidRPr="003C4771">
        <w:rPr>
          <w:szCs w:val="24"/>
          <w:lang w:eastAsia="en-US"/>
        </w:rPr>
        <w:t xml:space="preserve"> and $9765674.92.</w:t>
      </w:r>
      <w:r w:rsidR="00800264" w:rsidRPr="003C4771">
        <w:rPr>
          <w:szCs w:val="24"/>
          <w:lang w:eastAsia="en-US"/>
        </w:rPr>
        <w:t xml:space="preserve"> The coefficient of variation (CV) is 34.85 %. The five-summary statistics consisting of the minimum, 1</w:t>
      </w:r>
      <w:r w:rsidR="00800264" w:rsidRPr="003C4771">
        <w:rPr>
          <w:szCs w:val="24"/>
          <w:vertAlign w:val="superscript"/>
          <w:lang w:eastAsia="en-US"/>
        </w:rPr>
        <w:t>st</w:t>
      </w:r>
      <w:r w:rsidR="00800264" w:rsidRPr="003C4771">
        <w:rPr>
          <w:szCs w:val="24"/>
          <w:lang w:eastAsia="en-US"/>
        </w:rPr>
        <w:t xml:space="preserve"> quartile, median, 3</w:t>
      </w:r>
      <w:r w:rsidR="00800264" w:rsidRPr="003C4771">
        <w:rPr>
          <w:szCs w:val="24"/>
          <w:vertAlign w:val="superscript"/>
          <w:lang w:eastAsia="en-US"/>
        </w:rPr>
        <w:t>rd</w:t>
      </w:r>
      <w:r w:rsidR="00800264" w:rsidRPr="003C4771">
        <w:rPr>
          <w:szCs w:val="24"/>
          <w:lang w:eastAsia="en-US"/>
        </w:rPr>
        <w:t xml:space="preserve"> quartile, and the maximum annual food spending are $2,587, $6,933.75, $8,932, $10,</w:t>
      </w:r>
      <w:r w:rsidR="002525E1" w:rsidRPr="003C4771">
        <w:rPr>
          <w:szCs w:val="24"/>
          <w:lang w:eastAsia="en-US"/>
        </w:rPr>
        <w:t xml:space="preserve">950 </w:t>
      </w:r>
      <w:r w:rsidR="00800264" w:rsidRPr="003C4771">
        <w:rPr>
          <w:szCs w:val="24"/>
          <w:lang w:eastAsia="en-US"/>
        </w:rPr>
        <w:t>and $17,740 respectively.</w:t>
      </w:r>
    </w:p>
    <w:p w:rsidR="00F00DF1" w:rsidRPr="003C4771" w:rsidRDefault="004E462A" w:rsidP="00A36A75">
      <w:pPr>
        <w:pStyle w:val="BodyText"/>
        <w:spacing w:after="0" w:line="480" w:lineRule="auto"/>
        <w:rPr>
          <w:szCs w:val="24"/>
          <w:lang w:eastAsia="en-US"/>
        </w:rPr>
      </w:pPr>
      <w:r w:rsidRPr="003C4771">
        <w:rPr>
          <w:szCs w:val="24"/>
          <w:lang w:eastAsia="en-US"/>
        </w:rPr>
        <w:t>On the other hand, the mean</w:t>
      </w:r>
      <w:r w:rsidRPr="003C4771">
        <w:rPr>
          <w:bCs/>
          <w:szCs w:val="24"/>
        </w:rPr>
        <w:t xml:space="preserve"> Annual Household Income </w:t>
      </w:r>
      <w:r w:rsidRPr="003C4771">
        <w:rPr>
          <w:szCs w:val="24"/>
          <w:lang w:eastAsia="en-US"/>
        </w:rPr>
        <w:t xml:space="preserve">was found to be $55,552.39. The range of </w:t>
      </w:r>
      <w:r w:rsidRPr="003C4771">
        <w:rPr>
          <w:bCs/>
          <w:szCs w:val="24"/>
        </w:rPr>
        <w:t xml:space="preserve">Annual Household Income </w:t>
      </w:r>
      <w:r w:rsidRPr="003C4771">
        <w:rPr>
          <w:szCs w:val="24"/>
          <w:lang w:eastAsia="en-US"/>
        </w:rPr>
        <w:t>is $74,485.59. Its standard deviation and variance are $14,661.36 and $214,955,478.80. The coefficient of variation (</w:t>
      </w:r>
      <w:r w:rsidRPr="003C4771">
        <w:rPr>
          <w:szCs w:val="24"/>
          <w:lang w:eastAsia="en-US"/>
        </w:rPr>
        <w:t xml:space="preserve">CV) is </w:t>
      </w:r>
      <w:r w:rsidR="00EE0F73" w:rsidRPr="003C4771">
        <w:rPr>
          <w:szCs w:val="24"/>
          <w:lang w:eastAsia="en-US"/>
        </w:rPr>
        <w:t>26.39</w:t>
      </w:r>
      <w:r w:rsidRPr="003C4771">
        <w:rPr>
          <w:szCs w:val="24"/>
          <w:lang w:eastAsia="en-US"/>
        </w:rPr>
        <w:t xml:space="preserve"> %. The five-summary statistics consisting of the minimum, 1</w:t>
      </w:r>
      <w:r w:rsidRPr="003C4771">
        <w:rPr>
          <w:szCs w:val="24"/>
          <w:vertAlign w:val="superscript"/>
          <w:lang w:eastAsia="en-US"/>
        </w:rPr>
        <w:t>st</w:t>
      </w:r>
      <w:r w:rsidRPr="003C4771">
        <w:rPr>
          <w:szCs w:val="24"/>
          <w:lang w:eastAsia="en-US"/>
        </w:rPr>
        <w:t xml:space="preserve"> quartile, median, 3</w:t>
      </w:r>
      <w:r w:rsidRPr="003C4771">
        <w:rPr>
          <w:szCs w:val="24"/>
          <w:vertAlign w:val="superscript"/>
          <w:lang w:eastAsia="en-US"/>
        </w:rPr>
        <w:t>rd</w:t>
      </w:r>
      <w:r w:rsidRPr="003C4771">
        <w:rPr>
          <w:szCs w:val="24"/>
          <w:lang w:eastAsia="en-US"/>
        </w:rPr>
        <w:t xml:space="preserve"> quartile and the maximum </w:t>
      </w:r>
      <w:r w:rsidRPr="003C4771">
        <w:rPr>
          <w:bCs/>
          <w:szCs w:val="24"/>
        </w:rPr>
        <w:t>annual household income</w:t>
      </w:r>
      <w:r w:rsidRPr="003C4771">
        <w:rPr>
          <w:szCs w:val="24"/>
          <w:lang w:eastAsia="en-US"/>
        </w:rPr>
        <w:t xml:space="preserve"> are $</w:t>
      </w:r>
      <w:r w:rsidR="00EE0F73" w:rsidRPr="003C4771">
        <w:rPr>
          <w:szCs w:val="24"/>
          <w:lang w:eastAsia="en-US"/>
        </w:rPr>
        <w:t>21,646.61</w:t>
      </w:r>
      <w:r w:rsidRPr="003C4771">
        <w:rPr>
          <w:szCs w:val="24"/>
          <w:lang w:eastAsia="en-US"/>
        </w:rPr>
        <w:t>, $</w:t>
      </w:r>
      <w:r w:rsidR="00EE0F73" w:rsidRPr="003C4771">
        <w:rPr>
          <w:szCs w:val="24"/>
          <w:lang w:eastAsia="en-US"/>
        </w:rPr>
        <w:t>46,162.96</w:t>
      </w:r>
      <w:r w:rsidRPr="003C4771">
        <w:rPr>
          <w:szCs w:val="24"/>
          <w:lang w:eastAsia="en-US"/>
        </w:rPr>
        <w:t>, $</w:t>
      </w:r>
      <w:r w:rsidR="00DE4B2D" w:rsidRPr="003C4771">
        <w:rPr>
          <w:szCs w:val="24"/>
          <w:lang w:eastAsia="en-US"/>
        </w:rPr>
        <w:t>54,957.47</w:t>
      </w:r>
      <w:r w:rsidRPr="003C4771">
        <w:rPr>
          <w:szCs w:val="24"/>
          <w:lang w:eastAsia="en-US"/>
        </w:rPr>
        <w:t>, $</w:t>
      </w:r>
      <w:r w:rsidR="00B17FC4" w:rsidRPr="003C4771">
        <w:rPr>
          <w:szCs w:val="24"/>
          <w:lang w:eastAsia="en-US"/>
        </w:rPr>
        <w:t>64,933.54</w:t>
      </w:r>
      <w:r w:rsidRPr="003C4771">
        <w:rPr>
          <w:szCs w:val="24"/>
          <w:lang w:eastAsia="en-US"/>
        </w:rPr>
        <w:t xml:space="preserve"> and $</w:t>
      </w:r>
      <w:r w:rsidR="00B17FC4" w:rsidRPr="003C4771">
        <w:rPr>
          <w:szCs w:val="24"/>
          <w:lang w:eastAsia="en-US"/>
        </w:rPr>
        <w:t>96,132.20</w:t>
      </w:r>
      <w:r w:rsidRPr="003C4771">
        <w:rPr>
          <w:szCs w:val="24"/>
          <w:lang w:eastAsia="en-US"/>
        </w:rPr>
        <w:t xml:space="preserve"> respectively. While the mean</w:t>
      </w:r>
      <w:r w:rsidRPr="003C4771">
        <w:rPr>
          <w:bCs/>
          <w:szCs w:val="24"/>
        </w:rPr>
        <w:t xml:space="preserve"> </w:t>
      </w:r>
      <w:r w:rsidR="00A70A2A" w:rsidRPr="003C4771">
        <w:rPr>
          <w:bCs/>
          <w:szCs w:val="24"/>
        </w:rPr>
        <w:t>non-mortgage household debt</w:t>
      </w:r>
      <w:r w:rsidR="00A70A2A" w:rsidRPr="003C4771">
        <w:rPr>
          <w:szCs w:val="24"/>
          <w:lang w:eastAsia="en-US"/>
        </w:rPr>
        <w:t xml:space="preserve"> </w:t>
      </w:r>
      <w:r w:rsidRPr="003C4771">
        <w:rPr>
          <w:szCs w:val="24"/>
          <w:lang w:eastAsia="en-US"/>
        </w:rPr>
        <w:t xml:space="preserve">was found to be $55,552.39. The range of </w:t>
      </w:r>
      <w:r w:rsidRPr="003C4771">
        <w:rPr>
          <w:bCs/>
          <w:szCs w:val="24"/>
        </w:rPr>
        <w:t xml:space="preserve">Annual </w:t>
      </w:r>
      <w:r w:rsidRPr="003C4771">
        <w:rPr>
          <w:bCs/>
          <w:szCs w:val="24"/>
        </w:rPr>
        <w:lastRenderedPageBreak/>
        <w:t xml:space="preserve">Household Income </w:t>
      </w:r>
      <w:r w:rsidRPr="003C4771">
        <w:rPr>
          <w:szCs w:val="24"/>
          <w:lang w:eastAsia="en-US"/>
        </w:rPr>
        <w:t>is $74,485.59. Its standard deviation and variance are $14,661.36 and $214,955,478.80. The coefficient of variation (CV) is 26.39 %. The five-summary statistics consisting of the</w:t>
      </w:r>
      <w:r w:rsidRPr="003C4771">
        <w:rPr>
          <w:szCs w:val="24"/>
          <w:lang w:eastAsia="en-US"/>
        </w:rPr>
        <w:t xml:space="preserve"> minimum, 1</w:t>
      </w:r>
      <w:r w:rsidRPr="003C4771">
        <w:rPr>
          <w:szCs w:val="24"/>
          <w:vertAlign w:val="superscript"/>
          <w:lang w:eastAsia="en-US"/>
        </w:rPr>
        <w:t>st</w:t>
      </w:r>
      <w:r w:rsidRPr="003C4771">
        <w:rPr>
          <w:szCs w:val="24"/>
          <w:lang w:eastAsia="en-US"/>
        </w:rPr>
        <w:t xml:space="preserve"> quartile, median, 3</w:t>
      </w:r>
      <w:r w:rsidRPr="003C4771">
        <w:rPr>
          <w:szCs w:val="24"/>
          <w:vertAlign w:val="superscript"/>
          <w:lang w:eastAsia="en-US"/>
        </w:rPr>
        <w:t>rd</w:t>
      </w:r>
      <w:r w:rsidRPr="003C4771">
        <w:rPr>
          <w:szCs w:val="24"/>
          <w:lang w:eastAsia="en-US"/>
        </w:rPr>
        <w:t xml:space="preserve"> quartile and the maximum </w:t>
      </w:r>
      <w:r w:rsidR="00A70A2A" w:rsidRPr="003C4771">
        <w:rPr>
          <w:bCs/>
          <w:szCs w:val="24"/>
        </w:rPr>
        <w:t>non-mortgage household debt</w:t>
      </w:r>
      <w:r w:rsidRPr="003C4771">
        <w:rPr>
          <w:szCs w:val="24"/>
          <w:lang w:eastAsia="en-US"/>
        </w:rPr>
        <w:t xml:space="preserve"> are $21,646.61, $46,162.96, $54,957.47, $64,933.54 and $96,132.20 respectively.</w:t>
      </w:r>
    </w:p>
    <w:p w:rsidR="002057BD" w:rsidRPr="003C4771" w:rsidRDefault="004E462A" w:rsidP="00A36A75">
      <w:pPr>
        <w:pStyle w:val="BodyText"/>
        <w:spacing w:after="0" w:line="480" w:lineRule="auto"/>
        <w:rPr>
          <w:szCs w:val="24"/>
          <w:lang w:eastAsia="en-US"/>
        </w:rPr>
      </w:pPr>
      <w:r w:rsidRPr="003C4771">
        <w:rPr>
          <w:noProof/>
          <w:szCs w:val="24"/>
          <w:lang w:eastAsia="en-US"/>
        </w:rPr>
        <mc:AlternateContent>
          <mc:Cho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Requires="cx1">
            <w:drawing>
              <wp:inline distT="0" distB="0" distL="0" distR="0">
                <wp:extent cx="4572000" cy="2743200"/>
                <wp:effectExtent l="0" t="0" r="0" b="0"/>
                <wp:docPr id="1" name="Chart 1"/>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
                  </a:graphicData>
                </a:graphic>
              </wp:inline>
            </w:drawing>
          </mc:Choice>
          <mc:Fallback>
            <w:drawing>
              <wp:inline distT="0" distB="0" distL="0" distR="0">
                <wp:extent cx="4572000" cy="2743200"/>
                <wp:effectExtent l="0" t="0" r="0" b="0"/>
                <wp:docPr id="332579701" name="Chart 1"/>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512383275" name="Chart 1"/>
                        <pic:cNvPicPr>
                          <a:picLocks noGrp="1" noRot="1" noChangeAspect="1" noMove="1" noResize="1" noEditPoints="1" noAdjustHandles="1" noChangeArrowheads="1" noChangeShapeType="1"/>
                        </pic:cNvPicPr>
                      </pic:nvPicPr>
                      <pic:blipFill>
                        <a:blip r:embed="rId9"/>
                        <a:stretch>
                          <a:fillRect/>
                        </a:stretch>
                      </pic:blipFill>
                      <pic:spPr>
                        <a:xfrm>
                          <a:off x="0" y="0"/>
                          <a:ext cx="4572000" cy="2743200"/>
                        </a:xfrm>
                        <a:prstGeom prst="rect">
                          <a:avLst/>
                        </a:prstGeom>
                      </pic:spPr>
                    </pic:pic>
                  </a:graphicData>
                </a:graphic>
              </wp:inline>
            </w:drawing>
          </mc:Fallback>
        </mc:AlternateContent>
      </w:r>
    </w:p>
    <w:p w:rsidR="00825171" w:rsidRPr="003C4771" w:rsidRDefault="004E462A" w:rsidP="00A36A75">
      <w:pPr>
        <w:pStyle w:val="BodyText"/>
        <w:spacing w:after="0" w:line="480" w:lineRule="auto"/>
        <w:ind w:firstLine="720"/>
        <w:rPr>
          <w:szCs w:val="24"/>
          <w:lang w:eastAsia="en-US"/>
        </w:rPr>
      </w:pPr>
      <w:r w:rsidRPr="003C4771">
        <w:rPr>
          <w:bCs/>
          <w:szCs w:val="24"/>
        </w:rPr>
        <w:t>Outliers are values which are overly small or large as compared to the rest of the va</w:t>
      </w:r>
      <w:r w:rsidRPr="003C4771">
        <w:rPr>
          <w:bCs/>
          <w:szCs w:val="24"/>
        </w:rPr>
        <w:t xml:space="preserve">lues. </w:t>
      </w:r>
    </w:p>
    <w:p w:rsidR="0032297B" w:rsidRPr="003C4771" w:rsidRDefault="004E462A" w:rsidP="00A36A75">
      <w:pPr>
        <w:pStyle w:val="BodyText"/>
        <w:spacing w:after="0" w:line="480" w:lineRule="auto"/>
        <w:rPr>
          <w:bCs/>
          <w:szCs w:val="24"/>
        </w:rPr>
      </w:pPr>
      <w:r w:rsidRPr="003C4771">
        <w:rPr>
          <w:szCs w:val="24"/>
          <w:lang w:eastAsia="en-US"/>
        </w:rPr>
        <w:t>Figure 1 above s</w:t>
      </w:r>
      <w:r w:rsidR="002057BD" w:rsidRPr="003C4771">
        <w:rPr>
          <w:szCs w:val="24"/>
          <w:lang w:eastAsia="en-US"/>
        </w:rPr>
        <w:t xml:space="preserve">hows that presence of outliers in the on </w:t>
      </w:r>
      <w:r w:rsidR="002057BD" w:rsidRPr="003C4771">
        <w:rPr>
          <w:bCs/>
          <w:szCs w:val="24"/>
        </w:rPr>
        <w:t xml:space="preserve">Annual Food Spending per Household, Annual Household Income data which are their respective maximum values of </w:t>
      </w:r>
      <w:r w:rsidR="0029006C" w:rsidRPr="003C4771">
        <w:rPr>
          <w:bCs/>
          <w:szCs w:val="24"/>
        </w:rPr>
        <w:t>$17,740 and $96,132.20.</w:t>
      </w:r>
      <w:r w:rsidRPr="003C4771">
        <w:rPr>
          <w:bCs/>
          <w:szCs w:val="24"/>
        </w:rPr>
        <w:t xml:space="preserve"> </w:t>
      </w:r>
      <w:r w:rsidR="00465498" w:rsidRPr="003C4771">
        <w:rPr>
          <w:bCs/>
          <w:szCs w:val="24"/>
        </w:rPr>
        <w:t>No outlier is present in the non-mortgage household debt series.</w:t>
      </w:r>
    </w:p>
    <w:p w:rsidR="008E0659" w:rsidRPr="003C4771" w:rsidRDefault="004E462A" w:rsidP="00A36A75">
      <w:pPr>
        <w:pStyle w:val="APALevel1"/>
        <w:spacing w:before="0"/>
      </w:pPr>
      <w:r w:rsidRPr="003C4771">
        <w:t>Inferential Statistics</w:t>
      </w:r>
    </w:p>
    <w:p w:rsidR="008E0659" w:rsidRPr="003C4771" w:rsidRDefault="004E462A" w:rsidP="00A36A75">
      <w:pPr>
        <w:pStyle w:val="APALevel1"/>
        <w:spacing w:before="0"/>
      </w:pPr>
      <w:r w:rsidRPr="003C4771">
        <w:t>H</w:t>
      </w:r>
      <w:r w:rsidR="00FE0C74" w:rsidRPr="003C4771">
        <w:t>ypotheses 1</w:t>
      </w:r>
    </w:p>
    <w:p w:rsidR="00681AAA" w:rsidRPr="003C4771" w:rsidRDefault="004E462A" w:rsidP="00A36A75">
      <w:pPr>
        <w:pStyle w:val="BodyText"/>
        <w:spacing w:after="0" w:line="480" w:lineRule="auto"/>
        <w:rPr>
          <w:szCs w:val="24"/>
          <w:lang w:eastAsia="en-US"/>
        </w:rPr>
      </w:pPr>
      <w:r w:rsidRPr="003C4771">
        <w:rPr>
          <w:b/>
          <w:szCs w:val="24"/>
          <w:lang w:eastAsia="en-US"/>
        </w:rPr>
        <w:t>Null hypothesis:</w:t>
      </w:r>
      <w:r w:rsidRPr="003C4771">
        <w:rPr>
          <w:szCs w:val="24"/>
          <w:lang w:eastAsia="en-US"/>
        </w:rPr>
        <w:t xml:space="preserve"> </w:t>
      </w:r>
      <w:r w:rsidRPr="003C4771">
        <w:rPr>
          <w:bCs/>
          <w:szCs w:val="24"/>
          <w:lang w:eastAsia="en-US"/>
        </w:rPr>
        <w:t>The average annual food spending for a household in the Midwest region of the U.S. is less or equal to $8,000.</w:t>
      </w:r>
    </w:p>
    <w:p w:rsidR="00681AAA" w:rsidRPr="003C4771" w:rsidRDefault="004E462A" w:rsidP="00A36A75">
      <w:pPr>
        <w:pStyle w:val="BodyText"/>
        <w:spacing w:after="0" w:line="480" w:lineRule="auto"/>
        <w:rPr>
          <w:bCs/>
          <w:szCs w:val="24"/>
          <w:lang w:eastAsia="en-US"/>
        </w:rPr>
      </w:pPr>
      <w:r w:rsidRPr="003C4771">
        <w:rPr>
          <w:b/>
          <w:szCs w:val="24"/>
          <w:lang w:eastAsia="en-US"/>
        </w:rPr>
        <w:t>Alternative hypothesis:</w:t>
      </w:r>
      <w:r w:rsidRPr="003C4771">
        <w:rPr>
          <w:szCs w:val="24"/>
          <w:lang w:eastAsia="en-US"/>
        </w:rPr>
        <w:t xml:space="preserve"> </w:t>
      </w:r>
      <w:r w:rsidRPr="003C4771">
        <w:rPr>
          <w:bCs/>
          <w:szCs w:val="24"/>
          <w:lang w:eastAsia="en-US"/>
        </w:rPr>
        <w:t xml:space="preserve">The average annual food spending for a household in the </w:t>
      </w:r>
      <w:r w:rsidRPr="003C4771">
        <w:rPr>
          <w:bCs/>
          <w:szCs w:val="24"/>
          <w:lang w:eastAsia="en-US"/>
        </w:rPr>
        <w:t>Midwest region of the U.S. is more than $8,000.</w:t>
      </w:r>
    </w:p>
    <w:p w:rsidR="00AA6695" w:rsidRPr="003C4771" w:rsidRDefault="004E462A" w:rsidP="00A36A75">
      <w:pPr>
        <w:pStyle w:val="APALevel1"/>
        <w:spacing w:before="0"/>
      </w:pPr>
      <w:r w:rsidRPr="003C4771">
        <w:lastRenderedPageBreak/>
        <w:t>Results and Discussion</w:t>
      </w:r>
    </w:p>
    <w:p w:rsidR="00AA6695" w:rsidRPr="003C4771" w:rsidRDefault="004E462A" w:rsidP="00A36A75">
      <w:pPr>
        <w:pStyle w:val="BodyText"/>
        <w:spacing w:after="0" w:line="480" w:lineRule="auto"/>
        <w:rPr>
          <w:bCs/>
          <w:szCs w:val="24"/>
          <w:lang w:eastAsia="en-US"/>
        </w:rPr>
      </w:pPr>
      <w:r w:rsidRPr="003C4771">
        <w:rPr>
          <w:bCs/>
          <w:noProof/>
          <w:szCs w:val="24"/>
          <w:lang w:eastAsia="en-US"/>
        </w:rPr>
        <w:drawing>
          <wp:inline distT="0" distB="0" distL="0" distR="0">
            <wp:extent cx="2590933" cy="194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924271" name="midwest.PNG"/>
                    <pic:cNvPicPr/>
                  </pic:nvPicPr>
                  <pic:blipFill>
                    <a:blip r:embed="rId10">
                      <a:extLst>
                        <a:ext uri="{28A0092B-C50C-407E-A947-70E740481C1C}">
                          <a14:useLocalDpi xmlns:a14="http://schemas.microsoft.com/office/drawing/2010/main" val="0"/>
                        </a:ext>
                      </a:extLst>
                    </a:blip>
                    <a:stretch>
                      <a:fillRect/>
                    </a:stretch>
                  </pic:blipFill>
                  <pic:spPr>
                    <a:xfrm>
                      <a:off x="0" y="0"/>
                      <a:ext cx="2590933" cy="1943200"/>
                    </a:xfrm>
                    <a:prstGeom prst="rect">
                      <a:avLst/>
                    </a:prstGeom>
                  </pic:spPr>
                </pic:pic>
              </a:graphicData>
            </a:graphic>
          </wp:inline>
        </w:drawing>
      </w:r>
    </w:p>
    <w:p w:rsidR="00AA6695" w:rsidRPr="003C4771" w:rsidRDefault="004E462A" w:rsidP="00A36A75">
      <w:pPr>
        <w:pStyle w:val="BodyText"/>
        <w:spacing w:after="0" w:line="480" w:lineRule="auto"/>
        <w:ind w:firstLine="720"/>
        <w:rPr>
          <w:bCs/>
          <w:szCs w:val="24"/>
          <w:lang w:eastAsia="en-US"/>
        </w:rPr>
      </w:pPr>
      <w:r w:rsidRPr="003C4771">
        <w:rPr>
          <w:bCs/>
          <w:szCs w:val="24"/>
          <w:lang w:eastAsia="en-US"/>
        </w:rPr>
        <w:t>From table 2 above, the one-tailed test statistic (Z</w:t>
      </w:r>
      <w:r w:rsidRPr="003C4771">
        <w:rPr>
          <w:bCs/>
          <w:szCs w:val="24"/>
          <w:vertAlign w:val="subscript"/>
          <w:lang w:eastAsia="en-US"/>
        </w:rPr>
        <w:t>calc</w:t>
      </w:r>
      <w:r w:rsidRPr="003C4771">
        <w:rPr>
          <w:bCs/>
          <w:szCs w:val="24"/>
          <w:lang w:eastAsia="en-US"/>
        </w:rPr>
        <w:t xml:space="preserve">) is 1.8957. Since the p-value associated with this test statistic is 0.029002 which is greater than the significance level of </w:t>
      </w:r>
      <w:r w:rsidRPr="003C4771">
        <w:rPr>
          <w:bCs/>
          <w:szCs w:val="24"/>
          <w:lang w:eastAsia="en-US"/>
        </w:rPr>
        <w:t>0.01, the null hypothesis will</w:t>
      </w:r>
      <w:r w:rsidR="002003C1" w:rsidRPr="003C4771">
        <w:rPr>
          <w:bCs/>
          <w:szCs w:val="24"/>
          <w:lang w:eastAsia="en-US"/>
        </w:rPr>
        <w:t xml:space="preserve"> therefore</w:t>
      </w:r>
      <w:r w:rsidRPr="003C4771">
        <w:rPr>
          <w:bCs/>
          <w:szCs w:val="24"/>
          <w:lang w:eastAsia="en-US"/>
        </w:rPr>
        <w:t xml:space="preserve"> not be rejected leading to the conclusion that the average annual food spending for a household in the Midwest region of the U.S. is not statistically </w:t>
      </w:r>
      <w:r w:rsidR="007F71E8" w:rsidRPr="003C4771">
        <w:rPr>
          <w:bCs/>
          <w:szCs w:val="24"/>
          <w:lang w:eastAsia="en-US"/>
        </w:rPr>
        <w:t xml:space="preserve">significantly </w:t>
      </w:r>
      <w:r w:rsidR="00244045" w:rsidRPr="003C4771">
        <w:rPr>
          <w:bCs/>
          <w:szCs w:val="24"/>
          <w:lang w:eastAsia="en-US"/>
        </w:rPr>
        <w:t>more than $8,000 at a 1% significance level</w:t>
      </w:r>
      <w:r w:rsidRPr="003C4771">
        <w:rPr>
          <w:bCs/>
          <w:szCs w:val="24"/>
          <w:lang w:eastAsia="en-US"/>
        </w:rPr>
        <w:t xml:space="preserve">. </w:t>
      </w:r>
    </w:p>
    <w:p w:rsidR="00FE0C74" w:rsidRPr="003C4771" w:rsidRDefault="004E462A" w:rsidP="00A36A75">
      <w:pPr>
        <w:pStyle w:val="APALevel1"/>
        <w:spacing w:before="0"/>
      </w:pPr>
      <w:r w:rsidRPr="003C4771">
        <w:t>Hypo</w:t>
      </w:r>
      <w:r w:rsidRPr="003C4771">
        <w:t>theses 2</w:t>
      </w:r>
    </w:p>
    <w:p w:rsidR="00FE0C74" w:rsidRPr="003C4771" w:rsidRDefault="004E462A" w:rsidP="00A36A75">
      <w:pPr>
        <w:pStyle w:val="BodyText"/>
        <w:spacing w:after="0" w:line="480" w:lineRule="auto"/>
        <w:rPr>
          <w:szCs w:val="24"/>
          <w:lang w:eastAsia="en-US"/>
        </w:rPr>
      </w:pPr>
      <w:r w:rsidRPr="003C4771">
        <w:rPr>
          <w:b/>
          <w:szCs w:val="24"/>
          <w:lang w:eastAsia="en-US"/>
        </w:rPr>
        <w:t>Null hypothesis:</w:t>
      </w:r>
      <w:r w:rsidRPr="003C4771">
        <w:rPr>
          <w:szCs w:val="24"/>
          <w:lang w:eastAsia="en-US"/>
        </w:rPr>
        <w:t xml:space="preserve"> </w:t>
      </w:r>
      <w:r w:rsidRPr="003C4771">
        <w:rPr>
          <w:bCs/>
          <w:szCs w:val="24"/>
          <w:lang w:eastAsia="en-US"/>
        </w:rPr>
        <w:t>The</w:t>
      </w:r>
      <w:r w:rsidR="00247D13" w:rsidRPr="003C4771">
        <w:rPr>
          <w:bCs/>
          <w:szCs w:val="24"/>
          <w:lang w:eastAsia="en-US"/>
        </w:rPr>
        <w:t>re</w:t>
      </w:r>
      <w:r w:rsidRPr="003C4771">
        <w:rPr>
          <w:bCs/>
          <w:szCs w:val="24"/>
          <w:lang w:eastAsia="en-US"/>
        </w:rPr>
        <w:t xml:space="preserve"> </w:t>
      </w:r>
      <w:r w:rsidRPr="003C4771">
        <w:rPr>
          <w:szCs w:val="24"/>
          <w:lang w:eastAsia="en-US"/>
        </w:rPr>
        <w:t xml:space="preserve">is no </w:t>
      </w:r>
      <w:r w:rsidR="003B709F" w:rsidRPr="003C4771">
        <w:rPr>
          <w:szCs w:val="24"/>
          <w:lang w:eastAsia="en-US"/>
        </w:rPr>
        <w:t>statistically significant</w:t>
      </w:r>
      <w:r w:rsidRPr="003C4771">
        <w:rPr>
          <w:szCs w:val="24"/>
          <w:lang w:eastAsia="en-US"/>
        </w:rPr>
        <w:t xml:space="preserve"> difference between </w:t>
      </w:r>
      <w:r w:rsidRPr="003C4771">
        <w:rPr>
          <w:bCs/>
          <w:szCs w:val="24"/>
          <w:lang w:eastAsia="en-US"/>
        </w:rPr>
        <w:t xml:space="preserve">annual food spending amongst households in a metro area and households outside metro </w:t>
      </w:r>
      <w:r w:rsidR="00357847" w:rsidRPr="003C4771">
        <w:rPr>
          <w:bCs/>
          <w:szCs w:val="24"/>
          <w:lang w:eastAsia="en-US"/>
        </w:rPr>
        <w:t>areas.</w:t>
      </w:r>
    </w:p>
    <w:p w:rsidR="00FE0C74" w:rsidRPr="003C4771" w:rsidRDefault="004E462A" w:rsidP="00A36A75">
      <w:pPr>
        <w:pStyle w:val="BodyText"/>
        <w:spacing w:after="0" w:line="480" w:lineRule="auto"/>
        <w:rPr>
          <w:bCs/>
          <w:szCs w:val="24"/>
          <w:lang w:eastAsia="en-US"/>
        </w:rPr>
      </w:pPr>
      <w:r w:rsidRPr="003C4771">
        <w:rPr>
          <w:b/>
          <w:szCs w:val="24"/>
          <w:lang w:eastAsia="en-US"/>
        </w:rPr>
        <w:t>Alternative hypothesis:</w:t>
      </w:r>
      <w:r w:rsidRPr="003C4771">
        <w:rPr>
          <w:szCs w:val="24"/>
          <w:lang w:eastAsia="en-US"/>
        </w:rPr>
        <w:t xml:space="preserve"> </w:t>
      </w:r>
      <w:r w:rsidR="00357847" w:rsidRPr="003C4771">
        <w:rPr>
          <w:bCs/>
          <w:szCs w:val="24"/>
          <w:lang w:eastAsia="en-US"/>
        </w:rPr>
        <w:t>The</w:t>
      </w:r>
      <w:r w:rsidR="00247D13" w:rsidRPr="003C4771">
        <w:rPr>
          <w:bCs/>
          <w:szCs w:val="24"/>
          <w:lang w:eastAsia="en-US"/>
        </w:rPr>
        <w:t>re</w:t>
      </w:r>
      <w:r w:rsidR="00357847" w:rsidRPr="003C4771">
        <w:rPr>
          <w:bCs/>
          <w:szCs w:val="24"/>
          <w:lang w:eastAsia="en-US"/>
        </w:rPr>
        <w:t xml:space="preserve"> </w:t>
      </w:r>
      <w:r w:rsidR="00357847" w:rsidRPr="003C4771">
        <w:rPr>
          <w:szCs w:val="24"/>
          <w:lang w:eastAsia="en-US"/>
        </w:rPr>
        <w:t xml:space="preserve">is a </w:t>
      </w:r>
      <w:r w:rsidR="003B709F" w:rsidRPr="003C4771">
        <w:rPr>
          <w:szCs w:val="24"/>
          <w:lang w:eastAsia="en-US"/>
        </w:rPr>
        <w:t>statistically significant</w:t>
      </w:r>
      <w:r w:rsidR="00357847" w:rsidRPr="003C4771">
        <w:rPr>
          <w:szCs w:val="24"/>
          <w:lang w:eastAsia="en-US"/>
        </w:rPr>
        <w:t xml:space="preserve"> difference between </w:t>
      </w:r>
      <w:r w:rsidR="00357847" w:rsidRPr="003C4771">
        <w:rPr>
          <w:bCs/>
          <w:szCs w:val="24"/>
          <w:lang w:eastAsia="en-US"/>
        </w:rPr>
        <w:t>annual food spending amongst households in a metro</w:t>
      </w:r>
      <w:r w:rsidR="00727FDB" w:rsidRPr="003C4771">
        <w:rPr>
          <w:bCs/>
          <w:szCs w:val="24"/>
          <w:lang w:eastAsia="en-US"/>
        </w:rPr>
        <w:t>politan</w:t>
      </w:r>
      <w:r w:rsidR="00357847" w:rsidRPr="003C4771">
        <w:rPr>
          <w:bCs/>
          <w:szCs w:val="24"/>
          <w:lang w:eastAsia="en-US"/>
        </w:rPr>
        <w:t xml:space="preserve"> area and households outside metro</w:t>
      </w:r>
      <w:r w:rsidR="00727FDB" w:rsidRPr="003C4771">
        <w:rPr>
          <w:bCs/>
          <w:szCs w:val="24"/>
          <w:lang w:eastAsia="en-US"/>
        </w:rPr>
        <w:t>politan</w:t>
      </w:r>
      <w:r w:rsidR="00357847" w:rsidRPr="003C4771">
        <w:rPr>
          <w:bCs/>
          <w:szCs w:val="24"/>
          <w:lang w:eastAsia="en-US"/>
        </w:rPr>
        <w:t xml:space="preserve"> areas.</w:t>
      </w:r>
    </w:p>
    <w:p w:rsidR="002960A6" w:rsidRPr="003C4771" w:rsidRDefault="004E462A" w:rsidP="00A36A75">
      <w:pPr>
        <w:pStyle w:val="APALevel1"/>
        <w:spacing w:before="0"/>
      </w:pPr>
      <w:r w:rsidRPr="003C4771">
        <w:lastRenderedPageBreak/>
        <w:t>Results and Discussion</w:t>
      </w:r>
    </w:p>
    <w:p w:rsidR="005152AB" w:rsidRPr="003C4771" w:rsidRDefault="004E462A" w:rsidP="00A36A75">
      <w:pPr>
        <w:pStyle w:val="BodyText"/>
        <w:spacing w:after="0" w:line="480" w:lineRule="auto"/>
        <w:rPr>
          <w:szCs w:val="24"/>
          <w:lang w:eastAsia="en-US"/>
        </w:rPr>
      </w:pPr>
      <w:r w:rsidRPr="003C4771">
        <w:rPr>
          <w:noProof/>
          <w:szCs w:val="24"/>
          <w:lang w:eastAsia="en-US"/>
        </w:rPr>
        <w:drawing>
          <wp:inline distT="0" distB="0" distL="0" distR="0">
            <wp:extent cx="5381625" cy="4400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214009" name=""/>
                    <pic:cNvPicPr/>
                  </pic:nvPicPr>
                  <pic:blipFill>
                    <a:blip r:embed="rId11"/>
                    <a:stretch>
                      <a:fillRect/>
                    </a:stretch>
                  </pic:blipFill>
                  <pic:spPr>
                    <a:xfrm>
                      <a:off x="0" y="0"/>
                      <a:ext cx="5381625" cy="4400550"/>
                    </a:xfrm>
                    <a:prstGeom prst="rect">
                      <a:avLst/>
                    </a:prstGeom>
                  </pic:spPr>
                </pic:pic>
              </a:graphicData>
            </a:graphic>
          </wp:inline>
        </w:drawing>
      </w:r>
    </w:p>
    <w:p w:rsidR="005152AB" w:rsidRPr="003C4771" w:rsidRDefault="004E462A" w:rsidP="00A36A75">
      <w:pPr>
        <w:pStyle w:val="BodyText"/>
        <w:spacing w:after="0" w:line="480" w:lineRule="auto"/>
        <w:ind w:firstLine="720"/>
        <w:rPr>
          <w:bCs/>
          <w:szCs w:val="24"/>
          <w:lang w:eastAsia="en-US"/>
        </w:rPr>
      </w:pPr>
      <w:r w:rsidRPr="003C4771">
        <w:rPr>
          <w:szCs w:val="24"/>
          <w:lang w:eastAsia="en-US"/>
        </w:rPr>
        <w:t xml:space="preserve">From table 3 above, the </w:t>
      </w:r>
      <w:r w:rsidRPr="003C4771">
        <w:rPr>
          <w:bCs/>
          <w:szCs w:val="24"/>
          <w:lang w:eastAsia="en-US"/>
        </w:rPr>
        <w:t>two-tailed test statistic (Z</w:t>
      </w:r>
      <w:r w:rsidRPr="003C4771">
        <w:rPr>
          <w:bCs/>
          <w:szCs w:val="24"/>
          <w:vertAlign w:val="subscript"/>
          <w:lang w:eastAsia="en-US"/>
        </w:rPr>
        <w:t>calc</w:t>
      </w:r>
      <w:r w:rsidRPr="003C4771">
        <w:rPr>
          <w:bCs/>
          <w:szCs w:val="24"/>
          <w:lang w:eastAsia="en-US"/>
        </w:rPr>
        <w:t>) is 2.64315. Since the p-value associated with this test statistic i</w:t>
      </w:r>
      <w:r w:rsidRPr="003C4771">
        <w:rPr>
          <w:bCs/>
          <w:szCs w:val="24"/>
          <w:lang w:eastAsia="en-US"/>
        </w:rPr>
        <w:t>s 0.00887 which is less than</w:t>
      </w:r>
      <w:r w:rsidR="00250C36" w:rsidRPr="003C4771">
        <w:rPr>
          <w:bCs/>
          <w:szCs w:val="24"/>
          <w:lang w:eastAsia="en-US"/>
        </w:rPr>
        <w:t xml:space="preserve"> the significance level of 0.01, t</w:t>
      </w:r>
      <w:r w:rsidR="00247D13" w:rsidRPr="003C4771">
        <w:rPr>
          <w:bCs/>
          <w:szCs w:val="24"/>
          <w:lang w:eastAsia="en-US"/>
        </w:rPr>
        <w:t xml:space="preserve">he null hypothesis will, </w:t>
      </w:r>
      <w:r w:rsidR="002003C1" w:rsidRPr="003C4771">
        <w:rPr>
          <w:bCs/>
          <w:szCs w:val="24"/>
          <w:lang w:eastAsia="en-US"/>
        </w:rPr>
        <w:t xml:space="preserve">therefore, </w:t>
      </w:r>
      <w:r w:rsidRPr="003C4771">
        <w:rPr>
          <w:bCs/>
          <w:szCs w:val="24"/>
          <w:lang w:eastAsia="en-US"/>
        </w:rPr>
        <w:t>be rejected leading to the conclusion that the</w:t>
      </w:r>
      <w:r w:rsidR="00247D13" w:rsidRPr="003C4771">
        <w:rPr>
          <w:bCs/>
          <w:szCs w:val="24"/>
          <w:lang w:eastAsia="en-US"/>
        </w:rPr>
        <w:t xml:space="preserve">re </w:t>
      </w:r>
      <w:r w:rsidR="00247D13" w:rsidRPr="003C4771">
        <w:rPr>
          <w:szCs w:val="24"/>
          <w:lang w:eastAsia="en-US"/>
        </w:rPr>
        <w:t>is a statistically significant</w:t>
      </w:r>
      <w:r w:rsidR="00C06036" w:rsidRPr="003C4771">
        <w:rPr>
          <w:szCs w:val="24"/>
          <w:lang w:eastAsia="en-US"/>
        </w:rPr>
        <w:t xml:space="preserve"> </w:t>
      </w:r>
      <w:r w:rsidR="00247D13" w:rsidRPr="003C4771">
        <w:rPr>
          <w:szCs w:val="24"/>
          <w:lang w:eastAsia="en-US"/>
        </w:rPr>
        <w:t xml:space="preserve">difference between </w:t>
      </w:r>
      <w:r w:rsidR="00247D13" w:rsidRPr="003C4771">
        <w:rPr>
          <w:bCs/>
          <w:szCs w:val="24"/>
          <w:lang w:eastAsia="en-US"/>
        </w:rPr>
        <w:t>annual food spending amongst households in a metro area and households outside metro areas</w:t>
      </w:r>
      <w:r w:rsidR="0076415A" w:rsidRPr="003C4771">
        <w:rPr>
          <w:bCs/>
          <w:szCs w:val="24"/>
          <w:lang w:eastAsia="en-US"/>
        </w:rPr>
        <w:t xml:space="preserve"> at 1% level of </w:t>
      </w:r>
      <w:r w:rsidR="002003C1" w:rsidRPr="003C4771">
        <w:rPr>
          <w:bCs/>
          <w:szCs w:val="24"/>
          <w:lang w:eastAsia="en-US"/>
        </w:rPr>
        <w:t>significance</w:t>
      </w:r>
      <w:r w:rsidR="00247D13" w:rsidRPr="003C4771">
        <w:rPr>
          <w:bCs/>
          <w:szCs w:val="24"/>
          <w:lang w:eastAsia="en-US"/>
        </w:rPr>
        <w:t>.</w:t>
      </w:r>
      <w:r w:rsidR="00727FDB" w:rsidRPr="003C4771">
        <w:rPr>
          <w:bCs/>
          <w:szCs w:val="24"/>
          <w:lang w:eastAsia="en-US"/>
        </w:rPr>
        <w:t xml:space="preserve"> </w:t>
      </w:r>
      <w:r w:rsidR="00250C36" w:rsidRPr="003C4771">
        <w:rPr>
          <w:bCs/>
          <w:szCs w:val="24"/>
          <w:lang w:eastAsia="en-US"/>
        </w:rPr>
        <w:t xml:space="preserve">Average </w:t>
      </w:r>
      <w:r w:rsidR="00727FDB" w:rsidRPr="003C4771">
        <w:rPr>
          <w:bCs/>
          <w:szCs w:val="24"/>
          <w:lang w:eastAsia="en-US"/>
        </w:rPr>
        <w:t xml:space="preserve">annual food spending amongst households in a metropolitan area is $9,435.93 which is </w:t>
      </w:r>
      <w:r w:rsidR="00F04514" w:rsidRPr="003C4771">
        <w:rPr>
          <w:bCs/>
          <w:szCs w:val="24"/>
          <w:lang w:eastAsia="en-US"/>
        </w:rPr>
        <w:t xml:space="preserve">significantly greater than the </w:t>
      </w:r>
      <w:r w:rsidR="00A873F0" w:rsidRPr="003C4771">
        <w:rPr>
          <w:szCs w:val="24"/>
          <w:lang w:eastAsia="en-US"/>
        </w:rPr>
        <w:t xml:space="preserve">mean </w:t>
      </w:r>
      <w:r w:rsidR="00A873F0" w:rsidRPr="003C4771">
        <w:rPr>
          <w:bCs/>
          <w:szCs w:val="24"/>
          <w:lang w:eastAsia="en-US"/>
        </w:rPr>
        <w:t xml:space="preserve">annual food spending amongst </w:t>
      </w:r>
      <w:r w:rsidR="00727FDB" w:rsidRPr="003C4771">
        <w:rPr>
          <w:bCs/>
          <w:szCs w:val="24"/>
          <w:lang w:eastAsia="en-US"/>
        </w:rPr>
        <w:t>households outside metropolitan areas</w:t>
      </w:r>
      <w:r w:rsidR="00A873F0" w:rsidRPr="003C4771">
        <w:rPr>
          <w:bCs/>
          <w:szCs w:val="24"/>
          <w:lang w:eastAsia="en-US"/>
        </w:rPr>
        <w:t xml:space="preserve"> of $8,261.26</w:t>
      </w:r>
      <w:r w:rsidR="00727FDB" w:rsidRPr="003C4771">
        <w:rPr>
          <w:bCs/>
          <w:szCs w:val="24"/>
          <w:lang w:eastAsia="en-US"/>
        </w:rPr>
        <w:t>.</w:t>
      </w:r>
    </w:p>
    <w:p w:rsidR="0076415A" w:rsidRPr="003C4771" w:rsidRDefault="004E462A" w:rsidP="00A36A75">
      <w:pPr>
        <w:pStyle w:val="APALevel1"/>
        <w:spacing w:before="0"/>
      </w:pPr>
      <w:r w:rsidRPr="003C4771">
        <w:lastRenderedPageBreak/>
        <w:t>H</w:t>
      </w:r>
      <w:r w:rsidR="00A40BDD" w:rsidRPr="003C4771">
        <w:t>ypothese</w:t>
      </w:r>
      <w:r w:rsidRPr="003C4771">
        <w:t>s 3</w:t>
      </w:r>
    </w:p>
    <w:p w:rsidR="00733E82" w:rsidRPr="003C4771" w:rsidRDefault="004E462A" w:rsidP="00A36A75">
      <w:pPr>
        <w:pStyle w:val="BodyText"/>
        <w:spacing w:after="0" w:line="480" w:lineRule="auto"/>
        <w:rPr>
          <w:bCs/>
          <w:szCs w:val="24"/>
          <w:lang w:eastAsia="en-US"/>
        </w:rPr>
      </w:pPr>
      <w:r w:rsidRPr="003C4771">
        <w:rPr>
          <w:b/>
          <w:szCs w:val="24"/>
          <w:lang w:eastAsia="en-US"/>
        </w:rPr>
        <w:t>Null hypothesis:</w:t>
      </w:r>
      <w:r w:rsidRPr="003C4771">
        <w:rPr>
          <w:szCs w:val="24"/>
          <w:lang w:eastAsia="en-US"/>
        </w:rPr>
        <w:t xml:space="preserve"> There is </w:t>
      </w:r>
      <w:r w:rsidR="00C06036" w:rsidRPr="003C4771">
        <w:rPr>
          <w:szCs w:val="24"/>
          <w:lang w:eastAsia="en-US"/>
        </w:rPr>
        <w:t>no</w:t>
      </w:r>
      <w:r w:rsidRPr="003C4771">
        <w:rPr>
          <w:szCs w:val="24"/>
          <w:lang w:eastAsia="en-US"/>
        </w:rPr>
        <w:t xml:space="preserve"> </w:t>
      </w:r>
      <w:r w:rsidR="00C06036" w:rsidRPr="003C4771">
        <w:rPr>
          <w:szCs w:val="24"/>
          <w:lang w:eastAsia="en-US"/>
        </w:rPr>
        <w:t xml:space="preserve">statistically significant </w:t>
      </w:r>
      <w:r w:rsidRPr="003C4771">
        <w:rPr>
          <w:szCs w:val="24"/>
          <w:lang w:eastAsia="en-US"/>
        </w:rPr>
        <w:t xml:space="preserve">difference between </w:t>
      </w:r>
      <w:r w:rsidRPr="003C4771">
        <w:rPr>
          <w:bCs/>
          <w:szCs w:val="24"/>
          <w:lang w:eastAsia="en-US"/>
        </w:rPr>
        <w:t xml:space="preserve">annual food spending in the four </w:t>
      </w:r>
      <w:r w:rsidR="009450B9" w:rsidRPr="003C4771">
        <w:rPr>
          <w:bCs/>
          <w:szCs w:val="24"/>
          <w:lang w:eastAsia="en-US"/>
        </w:rPr>
        <w:t>geographic r</w:t>
      </w:r>
      <w:r w:rsidRPr="003C4771">
        <w:rPr>
          <w:bCs/>
          <w:szCs w:val="24"/>
          <w:lang w:eastAsia="en-US"/>
        </w:rPr>
        <w:t>egion</w:t>
      </w:r>
      <w:r w:rsidR="009450B9" w:rsidRPr="003C4771">
        <w:rPr>
          <w:bCs/>
          <w:szCs w:val="24"/>
          <w:lang w:eastAsia="en-US"/>
        </w:rPr>
        <w:t>s</w:t>
      </w:r>
      <w:r w:rsidRPr="003C4771">
        <w:rPr>
          <w:bCs/>
          <w:szCs w:val="24"/>
          <w:lang w:eastAsia="en-US"/>
        </w:rPr>
        <w:t xml:space="preserve"> of the U.S. </w:t>
      </w:r>
    </w:p>
    <w:p w:rsidR="00733E82" w:rsidRPr="003C4771" w:rsidRDefault="004E462A" w:rsidP="00A36A75">
      <w:pPr>
        <w:pStyle w:val="BodyText"/>
        <w:spacing w:after="0" w:line="480" w:lineRule="auto"/>
        <w:rPr>
          <w:bCs/>
          <w:szCs w:val="24"/>
          <w:lang w:eastAsia="en-US"/>
        </w:rPr>
      </w:pPr>
      <w:r w:rsidRPr="003C4771">
        <w:rPr>
          <w:b/>
          <w:szCs w:val="24"/>
          <w:lang w:eastAsia="en-US"/>
        </w:rPr>
        <w:t xml:space="preserve">Alternative hypothesis: </w:t>
      </w:r>
      <w:r w:rsidRPr="003C4771">
        <w:rPr>
          <w:szCs w:val="24"/>
          <w:lang w:eastAsia="en-US"/>
        </w:rPr>
        <w:t xml:space="preserve">There is a </w:t>
      </w:r>
      <w:r w:rsidR="00C06036" w:rsidRPr="003C4771">
        <w:rPr>
          <w:szCs w:val="24"/>
          <w:lang w:eastAsia="en-US"/>
        </w:rPr>
        <w:t>statistically significant</w:t>
      </w:r>
      <w:r w:rsidRPr="003C4771">
        <w:rPr>
          <w:szCs w:val="24"/>
          <w:lang w:eastAsia="en-US"/>
        </w:rPr>
        <w:t xml:space="preserve"> difference between </w:t>
      </w:r>
      <w:r w:rsidRPr="003C4771">
        <w:rPr>
          <w:bCs/>
          <w:szCs w:val="24"/>
          <w:lang w:eastAsia="en-US"/>
        </w:rPr>
        <w:t xml:space="preserve">annual </w:t>
      </w:r>
      <w:r w:rsidRPr="003C4771">
        <w:rPr>
          <w:bCs/>
          <w:szCs w:val="24"/>
          <w:lang w:eastAsia="en-US"/>
        </w:rPr>
        <w:t xml:space="preserve">food spending in the four </w:t>
      </w:r>
      <w:r w:rsidR="009450B9" w:rsidRPr="003C4771">
        <w:rPr>
          <w:bCs/>
          <w:szCs w:val="24"/>
          <w:lang w:eastAsia="en-US"/>
        </w:rPr>
        <w:t xml:space="preserve">geographic regions </w:t>
      </w:r>
      <w:r w:rsidRPr="003C4771">
        <w:rPr>
          <w:bCs/>
          <w:szCs w:val="24"/>
          <w:lang w:eastAsia="en-US"/>
        </w:rPr>
        <w:t xml:space="preserve">of the U.S. </w:t>
      </w:r>
    </w:p>
    <w:p w:rsidR="00733E82" w:rsidRPr="003C4771" w:rsidRDefault="004E462A" w:rsidP="00A36A75">
      <w:pPr>
        <w:pStyle w:val="APALevel1"/>
        <w:spacing w:before="0"/>
      </w:pPr>
      <w:r w:rsidRPr="003C4771">
        <w:t>Results and Discussion</w:t>
      </w:r>
    </w:p>
    <w:p w:rsidR="00733E82" w:rsidRPr="003C4771" w:rsidRDefault="004E462A" w:rsidP="00A36A75">
      <w:pPr>
        <w:pStyle w:val="BodyText"/>
        <w:spacing w:after="0" w:line="480" w:lineRule="auto"/>
        <w:rPr>
          <w:bCs/>
          <w:szCs w:val="24"/>
          <w:lang w:eastAsia="en-US"/>
        </w:rPr>
      </w:pPr>
      <w:r w:rsidRPr="003C4771">
        <w:rPr>
          <w:bCs/>
          <w:noProof/>
          <w:szCs w:val="24"/>
          <w:lang w:eastAsia="en-US"/>
        </w:rPr>
        <w:drawing>
          <wp:inline distT="0" distB="0" distL="0" distR="0">
            <wp:extent cx="5943600" cy="30937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384118" name="anova AFS.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093720"/>
                    </a:xfrm>
                    <a:prstGeom prst="rect">
                      <a:avLst/>
                    </a:prstGeom>
                  </pic:spPr>
                </pic:pic>
              </a:graphicData>
            </a:graphic>
          </wp:inline>
        </w:drawing>
      </w:r>
    </w:p>
    <w:p w:rsidR="00733E82" w:rsidRPr="003C4771" w:rsidRDefault="00733E82" w:rsidP="00A36A75">
      <w:pPr>
        <w:pStyle w:val="BodyText"/>
        <w:spacing w:after="0" w:line="480" w:lineRule="auto"/>
        <w:rPr>
          <w:bCs/>
          <w:szCs w:val="24"/>
          <w:lang w:eastAsia="en-US"/>
        </w:rPr>
      </w:pPr>
    </w:p>
    <w:p w:rsidR="00733E82" w:rsidRPr="003C4771" w:rsidRDefault="004E462A" w:rsidP="00A36A75">
      <w:pPr>
        <w:pStyle w:val="BodyText"/>
        <w:spacing w:after="0" w:line="480" w:lineRule="auto"/>
        <w:ind w:firstLine="720"/>
        <w:rPr>
          <w:bCs/>
          <w:szCs w:val="24"/>
          <w:lang w:eastAsia="en-US"/>
        </w:rPr>
      </w:pPr>
      <w:r w:rsidRPr="003C4771">
        <w:rPr>
          <w:bCs/>
          <w:szCs w:val="24"/>
          <w:lang w:eastAsia="en-US"/>
        </w:rPr>
        <w:t xml:space="preserve">From table 4 above, the F statistic is 3.0196, and its associated p-value is 0.030955 which is </w:t>
      </w:r>
      <w:r w:rsidR="00A40BDD" w:rsidRPr="003C4771">
        <w:rPr>
          <w:bCs/>
          <w:szCs w:val="24"/>
          <w:lang w:eastAsia="en-US"/>
        </w:rPr>
        <w:t xml:space="preserve">greater </w:t>
      </w:r>
      <w:r w:rsidRPr="003C4771">
        <w:rPr>
          <w:bCs/>
          <w:szCs w:val="24"/>
          <w:lang w:eastAsia="en-US"/>
        </w:rPr>
        <w:t>than the significance level of 0.0</w:t>
      </w:r>
      <w:r w:rsidR="002003C1" w:rsidRPr="003C4771">
        <w:rPr>
          <w:bCs/>
          <w:szCs w:val="24"/>
          <w:lang w:eastAsia="en-US"/>
        </w:rPr>
        <w:t>1. T</w:t>
      </w:r>
      <w:r w:rsidRPr="003C4771">
        <w:rPr>
          <w:bCs/>
          <w:szCs w:val="24"/>
          <w:lang w:eastAsia="en-US"/>
        </w:rPr>
        <w:t>he null hypothesis will</w:t>
      </w:r>
      <w:r w:rsidR="002003C1" w:rsidRPr="003C4771">
        <w:rPr>
          <w:bCs/>
          <w:szCs w:val="24"/>
          <w:lang w:eastAsia="en-US"/>
        </w:rPr>
        <w:t>, therefore</w:t>
      </w:r>
      <w:r w:rsidRPr="003C4771">
        <w:rPr>
          <w:bCs/>
          <w:szCs w:val="24"/>
          <w:lang w:eastAsia="en-US"/>
        </w:rPr>
        <w:t xml:space="preserve">, be </w:t>
      </w:r>
      <w:r w:rsidR="005262B7" w:rsidRPr="003C4771">
        <w:rPr>
          <w:bCs/>
          <w:szCs w:val="24"/>
          <w:lang w:eastAsia="en-US"/>
        </w:rPr>
        <w:t>accepted</w:t>
      </w:r>
      <w:r w:rsidRPr="003C4771">
        <w:rPr>
          <w:bCs/>
          <w:szCs w:val="24"/>
          <w:lang w:eastAsia="en-US"/>
        </w:rPr>
        <w:t xml:space="preserve"> leading to the conclusion that </w:t>
      </w:r>
      <w:r w:rsidRPr="003C4771">
        <w:rPr>
          <w:szCs w:val="24"/>
          <w:lang w:eastAsia="en-US"/>
        </w:rPr>
        <w:t xml:space="preserve">there is </w:t>
      </w:r>
      <w:r w:rsidR="00C84D08" w:rsidRPr="003C4771">
        <w:rPr>
          <w:szCs w:val="24"/>
          <w:lang w:eastAsia="en-US"/>
        </w:rPr>
        <w:t>no</w:t>
      </w:r>
      <w:r w:rsidRPr="003C4771">
        <w:rPr>
          <w:szCs w:val="24"/>
          <w:lang w:eastAsia="en-US"/>
        </w:rPr>
        <w:t xml:space="preserve"> </w:t>
      </w:r>
      <w:r w:rsidR="00713315" w:rsidRPr="003C4771">
        <w:rPr>
          <w:szCs w:val="24"/>
          <w:lang w:eastAsia="en-US"/>
        </w:rPr>
        <w:t>statistically significant</w:t>
      </w:r>
      <w:r w:rsidRPr="003C4771">
        <w:rPr>
          <w:szCs w:val="24"/>
          <w:lang w:eastAsia="en-US"/>
        </w:rPr>
        <w:t xml:space="preserve"> difference between </w:t>
      </w:r>
      <w:r w:rsidRPr="003C4771">
        <w:rPr>
          <w:bCs/>
          <w:szCs w:val="24"/>
          <w:lang w:eastAsia="en-US"/>
        </w:rPr>
        <w:t>annual food spending</w:t>
      </w:r>
      <w:r w:rsidR="00C7071C" w:rsidRPr="003C4771">
        <w:rPr>
          <w:bCs/>
          <w:szCs w:val="24"/>
          <w:lang w:eastAsia="en-US"/>
        </w:rPr>
        <w:t xml:space="preserve"> </w:t>
      </w:r>
      <w:r w:rsidRPr="003C4771">
        <w:rPr>
          <w:bCs/>
          <w:szCs w:val="24"/>
          <w:lang w:eastAsia="en-US"/>
        </w:rPr>
        <w:t xml:space="preserve">in the four </w:t>
      </w:r>
      <w:r w:rsidR="00C7071C" w:rsidRPr="003C4771">
        <w:rPr>
          <w:bCs/>
          <w:szCs w:val="24"/>
          <w:lang w:eastAsia="en-US"/>
        </w:rPr>
        <w:t xml:space="preserve">geographic regions </w:t>
      </w:r>
      <w:r w:rsidRPr="003C4771">
        <w:rPr>
          <w:bCs/>
          <w:szCs w:val="24"/>
          <w:lang w:eastAsia="en-US"/>
        </w:rPr>
        <w:t xml:space="preserve">of the U.S. </w:t>
      </w:r>
      <w:r w:rsidR="00A40BDD" w:rsidRPr="003C4771">
        <w:rPr>
          <w:bCs/>
          <w:szCs w:val="24"/>
          <w:lang w:eastAsia="en-US"/>
        </w:rPr>
        <w:t xml:space="preserve">at a 1% level </w:t>
      </w:r>
      <w:r w:rsidR="00250C36" w:rsidRPr="003C4771">
        <w:rPr>
          <w:bCs/>
          <w:szCs w:val="24"/>
          <w:lang w:eastAsia="en-US"/>
        </w:rPr>
        <w:t>of significance. On average,</w:t>
      </w:r>
      <w:r w:rsidRPr="003C4771">
        <w:rPr>
          <w:bCs/>
          <w:szCs w:val="24"/>
          <w:lang w:eastAsia="en-US"/>
        </w:rPr>
        <w:t xml:space="preserve"> annual food spending</w:t>
      </w:r>
      <w:r w:rsidR="00620C15" w:rsidRPr="003C4771">
        <w:rPr>
          <w:bCs/>
          <w:szCs w:val="24"/>
          <w:lang w:eastAsia="en-US"/>
        </w:rPr>
        <w:t xml:space="preserve"> i</w:t>
      </w:r>
      <w:r w:rsidR="00250C36" w:rsidRPr="003C4771">
        <w:rPr>
          <w:bCs/>
          <w:szCs w:val="24"/>
          <w:lang w:eastAsia="en-US"/>
        </w:rPr>
        <w:t>n</w:t>
      </w:r>
      <w:r w:rsidR="00A40BDD" w:rsidRPr="003C4771">
        <w:rPr>
          <w:bCs/>
          <w:szCs w:val="24"/>
          <w:lang w:eastAsia="en-US"/>
        </w:rPr>
        <w:t xml:space="preserve"> four regions in the U.S. was found to be</w:t>
      </w:r>
      <w:r w:rsidR="00620C15" w:rsidRPr="003C4771">
        <w:rPr>
          <w:bCs/>
          <w:szCs w:val="24"/>
          <w:lang w:eastAsia="en-US"/>
        </w:rPr>
        <w:t xml:space="preserve"> $9,435.93 in Northeast, $8,659.69 in Midwest, $7,833.95 in South and $9</w:t>
      </w:r>
      <w:r w:rsidR="004B4DE0" w:rsidRPr="003C4771">
        <w:rPr>
          <w:bCs/>
          <w:szCs w:val="24"/>
          <w:lang w:eastAsia="en-US"/>
        </w:rPr>
        <w:t>,</w:t>
      </w:r>
      <w:r w:rsidR="00620C15" w:rsidRPr="003C4771">
        <w:rPr>
          <w:bCs/>
          <w:szCs w:val="24"/>
          <w:lang w:eastAsia="en-US"/>
        </w:rPr>
        <w:t xml:space="preserve">492.55 in </w:t>
      </w:r>
      <w:r w:rsidR="00250C36" w:rsidRPr="003C4771">
        <w:rPr>
          <w:bCs/>
          <w:szCs w:val="24"/>
          <w:lang w:eastAsia="en-US"/>
        </w:rPr>
        <w:t xml:space="preserve">the </w:t>
      </w:r>
      <w:r w:rsidR="00620C15" w:rsidRPr="003C4771">
        <w:rPr>
          <w:bCs/>
          <w:szCs w:val="24"/>
          <w:lang w:eastAsia="en-US"/>
        </w:rPr>
        <w:t>West.</w:t>
      </w:r>
      <w:r w:rsidR="00A40BDD" w:rsidRPr="003C4771">
        <w:rPr>
          <w:bCs/>
          <w:szCs w:val="24"/>
          <w:lang w:eastAsia="en-US"/>
        </w:rPr>
        <w:t xml:space="preserve"> </w:t>
      </w:r>
      <w:r w:rsidR="002A31BE" w:rsidRPr="003C4771">
        <w:rPr>
          <w:bCs/>
          <w:szCs w:val="24"/>
          <w:lang w:eastAsia="en-US"/>
        </w:rPr>
        <w:t>However,</w:t>
      </w:r>
      <w:r w:rsidR="00A40BDD" w:rsidRPr="003C4771">
        <w:rPr>
          <w:bCs/>
          <w:szCs w:val="24"/>
          <w:lang w:eastAsia="en-US"/>
        </w:rPr>
        <w:t xml:space="preserve"> these variations are not </w:t>
      </w:r>
      <w:r w:rsidR="00A40BDD" w:rsidRPr="003C4771">
        <w:rPr>
          <w:bCs/>
          <w:szCs w:val="24"/>
          <w:lang w:eastAsia="en-US"/>
        </w:rPr>
        <w:lastRenderedPageBreak/>
        <w:t xml:space="preserve">statistically </w:t>
      </w:r>
      <w:r w:rsidR="005F2BEF" w:rsidRPr="003C4771">
        <w:rPr>
          <w:bCs/>
          <w:szCs w:val="24"/>
          <w:lang w:eastAsia="en-US"/>
        </w:rPr>
        <w:t xml:space="preserve">significant </w:t>
      </w:r>
      <w:r w:rsidR="00A40BDD" w:rsidRPr="003C4771">
        <w:rPr>
          <w:bCs/>
          <w:szCs w:val="24"/>
          <w:lang w:eastAsia="en-US"/>
        </w:rPr>
        <w:t xml:space="preserve">at a 1% </w:t>
      </w:r>
      <w:r w:rsidR="00DB63FC" w:rsidRPr="003C4771">
        <w:rPr>
          <w:bCs/>
          <w:szCs w:val="24"/>
          <w:lang w:eastAsia="en-US"/>
        </w:rPr>
        <w:t>significance level</w:t>
      </w:r>
      <w:r w:rsidR="00A40BDD" w:rsidRPr="003C4771">
        <w:rPr>
          <w:bCs/>
          <w:szCs w:val="24"/>
          <w:lang w:eastAsia="en-US"/>
        </w:rPr>
        <w:t xml:space="preserve">. </w:t>
      </w:r>
    </w:p>
    <w:p w:rsidR="00A40BDD" w:rsidRPr="003C4771" w:rsidRDefault="004E462A" w:rsidP="00A36A75">
      <w:pPr>
        <w:pStyle w:val="APALevel1"/>
        <w:spacing w:before="0"/>
      </w:pPr>
      <w:r w:rsidRPr="003C4771">
        <w:t>H</w:t>
      </w:r>
      <w:r w:rsidR="003001FD" w:rsidRPr="003C4771">
        <w:t>ypothese</w:t>
      </w:r>
      <w:r w:rsidRPr="003C4771">
        <w:t xml:space="preserve">s </w:t>
      </w:r>
      <w:r w:rsidR="00C43A2B" w:rsidRPr="003C4771">
        <w:t>4</w:t>
      </w:r>
    </w:p>
    <w:p w:rsidR="00A40BDD" w:rsidRPr="003C4771" w:rsidRDefault="004E462A" w:rsidP="00A36A75">
      <w:pPr>
        <w:pStyle w:val="BodyText"/>
        <w:spacing w:after="0" w:line="480" w:lineRule="auto"/>
        <w:rPr>
          <w:bCs/>
          <w:szCs w:val="24"/>
          <w:lang w:eastAsia="en-US"/>
        </w:rPr>
      </w:pPr>
      <w:r w:rsidRPr="003C4771">
        <w:rPr>
          <w:b/>
          <w:szCs w:val="24"/>
          <w:lang w:eastAsia="en-US"/>
        </w:rPr>
        <w:t>Null hypothesis:</w:t>
      </w:r>
      <w:r w:rsidRPr="003C4771">
        <w:rPr>
          <w:szCs w:val="24"/>
          <w:lang w:eastAsia="en-US"/>
        </w:rPr>
        <w:t xml:space="preserve"> The</w:t>
      </w:r>
      <w:r w:rsidRPr="003C4771">
        <w:rPr>
          <w:szCs w:val="24"/>
          <w:lang w:eastAsia="en-US"/>
        </w:rPr>
        <w:t xml:space="preserve">re is </w:t>
      </w:r>
      <w:r w:rsidR="00C06036" w:rsidRPr="003C4771">
        <w:rPr>
          <w:szCs w:val="24"/>
          <w:lang w:eastAsia="en-US"/>
        </w:rPr>
        <w:t xml:space="preserve">no statistically significant </w:t>
      </w:r>
      <w:r w:rsidRPr="003C4771">
        <w:rPr>
          <w:szCs w:val="24"/>
          <w:lang w:eastAsia="en-US"/>
        </w:rPr>
        <w:t xml:space="preserve">difference between </w:t>
      </w:r>
      <w:r w:rsidRPr="003C4771">
        <w:rPr>
          <w:bCs/>
          <w:szCs w:val="24"/>
          <w:lang w:eastAsia="en-US"/>
        </w:rPr>
        <w:t xml:space="preserve">annual household income in the four </w:t>
      </w:r>
      <w:r w:rsidR="009450B9" w:rsidRPr="003C4771">
        <w:rPr>
          <w:bCs/>
          <w:szCs w:val="24"/>
          <w:lang w:eastAsia="en-US"/>
        </w:rPr>
        <w:t xml:space="preserve">geographic regions </w:t>
      </w:r>
      <w:r w:rsidRPr="003C4771">
        <w:rPr>
          <w:bCs/>
          <w:szCs w:val="24"/>
          <w:lang w:eastAsia="en-US"/>
        </w:rPr>
        <w:t xml:space="preserve">of the U.S. </w:t>
      </w:r>
    </w:p>
    <w:p w:rsidR="00A40BDD" w:rsidRPr="003C4771" w:rsidRDefault="004E462A" w:rsidP="00A36A75">
      <w:pPr>
        <w:pStyle w:val="BodyText"/>
        <w:spacing w:after="0" w:line="480" w:lineRule="auto"/>
        <w:rPr>
          <w:bCs/>
          <w:szCs w:val="24"/>
          <w:lang w:eastAsia="en-US"/>
        </w:rPr>
      </w:pPr>
      <w:r w:rsidRPr="003C4771">
        <w:rPr>
          <w:b/>
          <w:szCs w:val="24"/>
          <w:lang w:eastAsia="en-US"/>
        </w:rPr>
        <w:t xml:space="preserve">Alternative hypothesis: </w:t>
      </w:r>
      <w:r w:rsidRPr="003C4771">
        <w:rPr>
          <w:szCs w:val="24"/>
          <w:lang w:eastAsia="en-US"/>
        </w:rPr>
        <w:t xml:space="preserve">There is a </w:t>
      </w:r>
      <w:r w:rsidR="00C06036" w:rsidRPr="003C4771">
        <w:rPr>
          <w:szCs w:val="24"/>
          <w:lang w:eastAsia="en-US"/>
        </w:rPr>
        <w:t>statistically significant</w:t>
      </w:r>
      <w:r w:rsidRPr="003C4771">
        <w:rPr>
          <w:szCs w:val="24"/>
          <w:lang w:eastAsia="en-US"/>
        </w:rPr>
        <w:t xml:space="preserve"> difference between </w:t>
      </w:r>
      <w:r w:rsidRPr="003C4771">
        <w:rPr>
          <w:bCs/>
          <w:szCs w:val="24"/>
          <w:lang w:eastAsia="en-US"/>
        </w:rPr>
        <w:t xml:space="preserve">annual household income in the four </w:t>
      </w:r>
      <w:r w:rsidR="009450B9" w:rsidRPr="003C4771">
        <w:rPr>
          <w:bCs/>
          <w:szCs w:val="24"/>
          <w:lang w:eastAsia="en-US"/>
        </w:rPr>
        <w:t xml:space="preserve">geographic regions </w:t>
      </w:r>
      <w:r w:rsidRPr="003C4771">
        <w:rPr>
          <w:bCs/>
          <w:szCs w:val="24"/>
          <w:lang w:eastAsia="en-US"/>
        </w:rPr>
        <w:t xml:space="preserve">of the U.S. </w:t>
      </w:r>
    </w:p>
    <w:p w:rsidR="00A40BDD" w:rsidRPr="003C4771" w:rsidRDefault="004E462A" w:rsidP="00A36A75">
      <w:pPr>
        <w:pStyle w:val="APALevel1"/>
        <w:spacing w:before="0"/>
      </w:pPr>
      <w:r w:rsidRPr="003C4771">
        <w:t>Results and Discussion</w:t>
      </w:r>
    </w:p>
    <w:p w:rsidR="00A40BDD" w:rsidRPr="003C4771" w:rsidRDefault="004E462A" w:rsidP="00A36A75">
      <w:pPr>
        <w:pStyle w:val="BodyText"/>
        <w:spacing w:after="0" w:line="480" w:lineRule="auto"/>
        <w:rPr>
          <w:bCs/>
          <w:szCs w:val="24"/>
          <w:lang w:eastAsia="en-US"/>
        </w:rPr>
      </w:pPr>
      <w:r w:rsidRPr="003C4771">
        <w:rPr>
          <w:bCs/>
          <w:noProof/>
          <w:szCs w:val="24"/>
          <w:lang w:eastAsia="en-US"/>
        </w:rPr>
        <w:drawing>
          <wp:inline distT="0" distB="0" distL="0" distR="0">
            <wp:extent cx="5943600" cy="3051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418138" name="ANOVA AHI.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051175"/>
                    </a:xfrm>
                    <a:prstGeom prst="rect">
                      <a:avLst/>
                    </a:prstGeom>
                  </pic:spPr>
                </pic:pic>
              </a:graphicData>
            </a:graphic>
          </wp:inline>
        </w:drawing>
      </w:r>
    </w:p>
    <w:p w:rsidR="002003C1" w:rsidRPr="003C4771" w:rsidRDefault="004E462A" w:rsidP="00A36A75">
      <w:pPr>
        <w:pStyle w:val="BodyText"/>
        <w:spacing w:after="0" w:line="480" w:lineRule="auto"/>
        <w:ind w:firstLine="720"/>
        <w:rPr>
          <w:bCs/>
          <w:szCs w:val="24"/>
          <w:lang w:eastAsia="en-US"/>
        </w:rPr>
      </w:pPr>
      <w:r w:rsidRPr="003C4771">
        <w:rPr>
          <w:bCs/>
          <w:szCs w:val="24"/>
          <w:lang w:eastAsia="en-US"/>
        </w:rPr>
        <w:t xml:space="preserve">From table 5 above, the F statistic is 2.5996, and its associated p-value is 0.05342 which is greater than the significance level of 0.01. The null hypothesis will, therefore, be </w:t>
      </w:r>
      <w:r w:rsidR="005262B7" w:rsidRPr="003C4771">
        <w:rPr>
          <w:bCs/>
          <w:szCs w:val="24"/>
          <w:lang w:eastAsia="en-US"/>
        </w:rPr>
        <w:t>accepted</w:t>
      </w:r>
      <w:r w:rsidRPr="003C4771">
        <w:rPr>
          <w:bCs/>
          <w:szCs w:val="24"/>
          <w:lang w:eastAsia="en-US"/>
        </w:rPr>
        <w:t xml:space="preserve"> leading to </w:t>
      </w:r>
      <w:r w:rsidRPr="003C4771">
        <w:rPr>
          <w:bCs/>
          <w:szCs w:val="24"/>
          <w:lang w:eastAsia="en-US"/>
        </w:rPr>
        <w:t xml:space="preserve">the conclusion that </w:t>
      </w:r>
      <w:r w:rsidRPr="003C4771">
        <w:rPr>
          <w:szCs w:val="24"/>
          <w:lang w:eastAsia="en-US"/>
        </w:rPr>
        <w:t xml:space="preserve">there is </w:t>
      </w:r>
      <w:r w:rsidR="00C1669D" w:rsidRPr="003C4771">
        <w:rPr>
          <w:szCs w:val="24"/>
          <w:lang w:eastAsia="en-US"/>
        </w:rPr>
        <w:t>no</w:t>
      </w:r>
      <w:r w:rsidRPr="003C4771">
        <w:rPr>
          <w:szCs w:val="24"/>
          <w:lang w:eastAsia="en-US"/>
        </w:rPr>
        <w:t xml:space="preserve"> statistically significant difference between </w:t>
      </w:r>
      <w:r w:rsidRPr="003C4771">
        <w:rPr>
          <w:bCs/>
          <w:szCs w:val="24"/>
          <w:lang w:eastAsia="en-US"/>
        </w:rPr>
        <w:t xml:space="preserve">annual </w:t>
      </w:r>
      <w:r w:rsidR="008E060F" w:rsidRPr="003C4771">
        <w:rPr>
          <w:bCs/>
          <w:szCs w:val="24"/>
          <w:lang w:eastAsia="en-US"/>
        </w:rPr>
        <w:t xml:space="preserve">household income </w:t>
      </w:r>
      <w:r w:rsidRPr="003C4771">
        <w:rPr>
          <w:bCs/>
          <w:szCs w:val="24"/>
          <w:lang w:eastAsia="en-US"/>
        </w:rPr>
        <w:t xml:space="preserve">in the four </w:t>
      </w:r>
      <w:r w:rsidR="00C7071C" w:rsidRPr="003C4771">
        <w:rPr>
          <w:bCs/>
          <w:szCs w:val="24"/>
          <w:lang w:eastAsia="en-US"/>
        </w:rPr>
        <w:t>geographic r</w:t>
      </w:r>
      <w:r w:rsidRPr="003C4771">
        <w:rPr>
          <w:bCs/>
          <w:szCs w:val="24"/>
          <w:lang w:eastAsia="en-US"/>
        </w:rPr>
        <w:t>egion</w:t>
      </w:r>
      <w:r w:rsidR="00C7071C" w:rsidRPr="003C4771">
        <w:rPr>
          <w:bCs/>
          <w:szCs w:val="24"/>
          <w:lang w:eastAsia="en-US"/>
        </w:rPr>
        <w:t>s</w:t>
      </w:r>
      <w:r w:rsidRPr="003C4771">
        <w:rPr>
          <w:bCs/>
          <w:szCs w:val="24"/>
          <w:lang w:eastAsia="en-US"/>
        </w:rPr>
        <w:t xml:space="preserve"> of the U.S.</w:t>
      </w:r>
      <w:r w:rsidR="00507ADE" w:rsidRPr="003C4771">
        <w:rPr>
          <w:bCs/>
          <w:szCs w:val="24"/>
          <w:lang w:eastAsia="en-US"/>
        </w:rPr>
        <w:t xml:space="preserve"> at 1% significance </w:t>
      </w:r>
      <w:r w:rsidRPr="003C4771">
        <w:rPr>
          <w:bCs/>
          <w:szCs w:val="24"/>
          <w:lang w:eastAsia="en-US"/>
        </w:rPr>
        <w:t>level</w:t>
      </w:r>
      <w:r w:rsidR="00F04514" w:rsidRPr="003C4771">
        <w:rPr>
          <w:bCs/>
          <w:szCs w:val="24"/>
          <w:lang w:eastAsia="en-US"/>
        </w:rPr>
        <w:t xml:space="preserve">. On average, </w:t>
      </w:r>
      <w:r w:rsidRPr="003C4771">
        <w:rPr>
          <w:bCs/>
          <w:szCs w:val="24"/>
          <w:lang w:eastAsia="en-US"/>
        </w:rPr>
        <w:t xml:space="preserve">annual </w:t>
      </w:r>
      <w:r w:rsidR="008E060F" w:rsidRPr="003C4771">
        <w:rPr>
          <w:bCs/>
          <w:szCs w:val="24"/>
          <w:lang w:eastAsia="en-US"/>
        </w:rPr>
        <w:t>household income</w:t>
      </w:r>
      <w:r w:rsidRPr="003C4771">
        <w:rPr>
          <w:bCs/>
          <w:szCs w:val="24"/>
          <w:lang w:eastAsia="en-US"/>
        </w:rPr>
        <w:t xml:space="preserve"> in the four regions in the U.S. was found to be $</w:t>
      </w:r>
      <w:r w:rsidR="004B4DE0" w:rsidRPr="003C4771">
        <w:rPr>
          <w:bCs/>
          <w:szCs w:val="24"/>
          <w:lang w:eastAsia="en-US"/>
        </w:rPr>
        <w:t>57,362.19</w:t>
      </w:r>
      <w:r w:rsidRPr="003C4771">
        <w:rPr>
          <w:bCs/>
          <w:szCs w:val="24"/>
          <w:lang w:eastAsia="en-US"/>
        </w:rPr>
        <w:t xml:space="preserve"> in Northeast, $</w:t>
      </w:r>
      <w:r w:rsidR="004B4DE0" w:rsidRPr="003C4771">
        <w:rPr>
          <w:bCs/>
          <w:szCs w:val="24"/>
          <w:lang w:eastAsia="en-US"/>
        </w:rPr>
        <w:t>54,458.35</w:t>
      </w:r>
      <w:r w:rsidRPr="003C4771">
        <w:rPr>
          <w:bCs/>
          <w:szCs w:val="24"/>
          <w:lang w:eastAsia="en-US"/>
        </w:rPr>
        <w:t xml:space="preserve"> in M</w:t>
      </w:r>
      <w:r w:rsidR="004B4DE0" w:rsidRPr="003C4771">
        <w:rPr>
          <w:bCs/>
          <w:szCs w:val="24"/>
          <w:lang w:eastAsia="en-US"/>
        </w:rPr>
        <w:t>idwest, $50,508.15</w:t>
      </w:r>
      <w:r w:rsidRPr="003C4771">
        <w:rPr>
          <w:bCs/>
          <w:szCs w:val="24"/>
          <w:lang w:eastAsia="en-US"/>
        </w:rPr>
        <w:t xml:space="preserve"> in South and $</w:t>
      </w:r>
      <w:r w:rsidR="004B4DE0" w:rsidRPr="003C4771">
        <w:rPr>
          <w:bCs/>
          <w:szCs w:val="24"/>
          <w:lang w:eastAsia="en-US"/>
        </w:rPr>
        <w:t>58,141.15</w:t>
      </w:r>
      <w:r w:rsidRPr="003C4771">
        <w:rPr>
          <w:bCs/>
          <w:szCs w:val="24"/>
          <w:lang w:eastAsia="en-US"/>
        </w:rPr>
        <w:t xml:space="preserve"> in West region of U.S. However, </w:t>
      </w:r>
      <w:r w:rsidRPr="003C4771">
        <w:rPr>
          <w:bCs/>
          <w:szCs w:val="24"/>
          <w:lang w:eastAsia="en-US"/>
        </w:rPr>
        <w:lastRenderedPageBreak/>
        <w:t xml:space="preserve">these variations are not statistically </w:t>
      </w:r>
      <w:r w:rsidR="00E926B4" w:rsidRPr="003C4771">
        <w:rPr>
          <w:bCs/>
          <w:szCs w:val="24"/>
          <w:lang w:eastAsia="en-US"/>
        </w:rPr>
        <w:t>significant</w:t>
      </w:r>
      <w:r w:rsidRPr="003C4771">
        <w:rPr>
          <w:bCs/>
          <w:szCs w:val="24"/>
          <w:lang w:eastAsia="en-US"/>
        </w:rPr>
        <w:t xml:space="preserve"> at 1</w:t>
      </w:r>
      <w:r w:rsidR="00B624E0" w:rsidRPr="003C4771">
        <w:rPr>
          <w:bCs/>
          <w:szCs w:val="24"/>
          <w:lang w:eastAsia="en-US"/>
        </w:rPr>
        <w:t>% significance</w:t>
      </w:r>
      <w:r w:rsidR="00E9433D" w:rsidRPr="003C4771">
        <w:rPr>
          <w:bCs/>
          <w:szCs w:val="24"/>
          <w:lang w:eastAsia="en-US"/>
        </w:rPr>
        <w:t xml:space="preserve"> level</w:t>
      </w:r>
      <w:r w:rsidRPr="003C4771">
        <w:rPr>
          <w:bCs/>
          <w:szCs w:val="24"/>
          <w:lang w:eastAsia="en-US"/>
        </w:rPr>
        <w:t xml:space="preserve">. </w:t>
      </w:r>
    </w:p>
    <w:p w:rsidR="00C43A2B" w:rsidRPr="003C4771" w:rsidRDefault="004E462A" w:rsidP="00A36A75">
      <w:pPr>
        <w:pStyle w:val="APALevel1"/>
        <w:spacing w:before="0"/>
      </w:pPr>
      <w:r w:rsidRPr="003C4771">
        <w:t xml:space="preserve">Hypotheses </w:t>
      </w:r>
      <w:r w:rsidR="009450B9" w:rsidRPr="003C4771">
        <w:t>5</w:t>
      </w:r>
    </w:p>
    <w:p w:rsidR="00C43A2B" w:rsidRPr="003C4771" w:rsidRDefault="004E462A" w:rsidP="00A36A75">
      <w:pPr>
        <w:pStyle w:val="BodyText"/>
        <w:spacing w:after="0" w:line="480" w:lineRule="auto"/>
        <w:rPr>
          <w:bCs/>
          <w:szCs w:val="24"/>
          <w:lang w:eastAsia="en-US"/>
        </w:rPr>
      </w:pPr>
      <w:r w:rsidRPr="003C4771">
        <w:rPr>
          <w:b/>
          <w:szCs w:val="24"/>
          <w:lang w:eastAsia="en-US"/>
        </w:rPr>
        <w:t>Null hypothesis:</w:t>
      </w:r>
      <w:r w:rsidRPr="003C4771">
        <w:rPr>
          <w:szCs w:val="24"/>
          <w:lang w:eastAsia="en-US"/>
        </w:rPr>
        <w:t xml:space="preserve"> There is </w:t>
      </w:r>
      <w:r w:rsidR="00C06036" w:rsidRPr="003C4771">
        <w:rPr>
          <w:szCs w:val="24"/>
          <w:lang w:eastAsia="en-US"/>
        </w:rPr>
        <w:t>no</w:t>
      </w:r>
      <w:r w:rsidRPr="003C4771">
        <w:rPr>
          <w:szCs w:val="24"/>
          <w:lang w:eastAsia="en-US"/>
        </w:rPr>
        <w:t xml:space="preserve"> </w:t>
      </w:r>
      <w:r w:rsidR="009450B9" w:rsidRPr="003C4771">
        <w:rPr>
          <w:szCs w:val="24"/>
          <w:lang w:eastAsia="en-US"/>
        </w:rPr>
        <w:t>statistically significant</w:t>
      </w:r>
      <w:r w:rsidRPr="003C4771">
        <w:rPr>
          <w:szCs w:val="24"/>
          <w:lang w:eastAsia="en-US"/>
        </w:rPr>
        <w:t xml:space="preserve"> difference between </w:t>
      </w:r>
      <w:r w:rsidR="009450B9" w:rsidRPr="003C4771">
        <w:rPr>
          <w:bCs/>
          <w:szCs w:val="24"/>
          <w:lang w:eastAsia="en-US"/>
        </w:rPr>
        <w:t xml:space="preserve">non-mortgage household debt </w:t>
      </w:r>
      <w:r w:rsidRPr="003C4771">
        <w:rPr>
          <w:bCs/>
          <w:szCs w:val="24"/>
          <w:lang w:eastAsia="en-US"/>
        </w:rPr>
        <w:t xml:space="preserve">in the four </w:t>
      </w:r>
      <w:r w:rsidR="009450B9" w:rsidRPr="003C4771">
        <w:rPr>
          <w:bCs/>
          <w:szCs w:val="24"/>
          <w:lang w:eastAsia="en-US"/>
        </w:rPr>
        <w:t>geographic r</w:t>
      </w:r>
      <w:r w:rsidRPr="003C4771">
        <w:rPr>
          <w:bCs/>
          <w:szCs w:val="24"/>
          <w:lang w:eastAsia="en-US"/>
        </w:rPr>
        <w:t>egion</w:t>
      </w:r>
      <w:r w:rsidR="009450B9" w:rsidRPr="003C4771">
        <w:rPr>
          <w:bCs/>
          <w:szCs w:val="24"/>
          <w:lang w:eastAsia="en-US"/>
        </w:rPr>
        <w:t>s</w:t>
      </w:r>
      <w:r w:rsidRPr="003C4771">
        <w:rPr>
          <w:bCs/>
          <w:szCs w:val="24"/>
          <w:lang w:eastAsia="en-US"/>
        </w:rPr>
        <w:t xml:space="preserve"> of the U.S. </w:t>
      </w:r>
    </w:p>
    <w:p w:rsidR="00C43A2B" w:rsidRPr="003C4771" w:rsidRDefault="004E462A" w:rsidP="00A36A75">
      <w:pPr>
        <w:pStyle w:val="BodyText"/>
        <w:spacing w:after="0" w:line="480" w:lineRule="auto"/>
        <w:rPr>
          <w:bCs/>
          <w:szCs w:val="24"/>
          <w:lang w:eastAsia="en-US"/>
        </w:rPr>
      </w:pPr>
      <w:r w:rsidRPr="003C4771">
        <w:rPr>
          <w:b/>
          <w:szCs w:val="24"/>
          <w:lang w:eastAsia="en-US"/>
        </w:rPr>
        <w:t xml:space="preserve">Alternative hypothesis: </w:t>
      </w:r>
      <w:r w:rsidR="009450B9" w:rsidRPr="003C4771">
        <w:rPr>
          <w:szCs w:val="24"/>
          <w:lang w:eastAsia="en-US"/>
        </w:rPr>
        <w:t xml:space="preserve">There is a statistically significant difference between </w:t>
      </w:r>
      <w:r w:rsidR="009450B9" w:rsidRPr="003C4771">
        <w:rPr>
          <w:bCs/>
          <w:szCs w:val="24"/>
          <w:lang w:eastAsia="en-US"/>
        </w:rPr>
        <w:t>non-mortgage household debt in the four geographic regions of the U.S.</w:t>
      </w:r>
    </w:p>
    <w:p w:rsidR="00754DC8" w:rsidRPr="003C4771" w:rsidRDefault="004E462A" w:rsidP="00A36A75">
      <w:pPr>
        <w:pStyle w:val="APALevel1"/>
        <w:spacing w:before="0"/>
      </w:pPr>
      <w:r w:rsidRPr="003C4771">
        <w:t>Results an</w:t>
      </w:r>
      <w:r w:rsidRPr="003C4771">
        <w:t>d Discussion</w:t>
      </w:r>
    </w:p>
    <w:p w:rsidR="00754DC8" w:rsidRPr="003C4771" w:rsidRDefault="004E462A" w:rsidP="00A36A75">
      <w:pPr>
        <w:pStyle w:val="BodyText"/>
        <w:spacing w:after="0" w:line="480" w:lineRule="auto"/>
        <w:rPr>
          <w:bCs/>
          <w:szCs w:val="24"/>
          <w:lang w:eastAsia="en-US"/>
        </w:rPr>
      </w:pPr>
      <w:r w:rsidRPr="003C4771">
        <w:rPr>
          <w:bCs/>
          <w:noProof/>
          <w:szCs w:val="24"/>
          <w:lang w:eastAsia="en-US"/>
        </w:rPr>
        <w:drawing>
          <wp:inline distT="0" distB="0" distL="0" distR="0">
            <wp:extent cx="5943600" cy="3206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701817" name="anova AHMD.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3206750"/>
                    </a:xfrm>
                    <a:prstGeom prst="rect">
                      <a:avLst/>
                    </a:prstGeom>
                  </pic:spPr>
                </pic:pic>
              </a:graphicData>
            </a:graphic>
          </wp:inline>
        </w:drawing>
      </w:r>
    </w:p>
    <w:p w:rsidR="00733E82" w:rsidRPr="003C4771" w:rsidRDefault="004E462A" w:rsidP="00A36A75">
      <w:pPr>
        <w:pStyle w:val="BodyText"/>
        <w:spacing w:after="0" w:line="480" w:lineRule="auto"/>
        <w:ind w:firstLine="720"/>
        <w:rPr>
          <w:bCs/>
          <w:szCs w:val="24"/>
          <w:lang w:eastAsia="en-US"/>
        </w:rPr>
      </w:pPr>
      <w:r w:rsidRPr="003C4771">
        <w:rPr>
          <w:bCs/>
          <w:szCs w:val="24"/>
          <w:lang w:eastAsia="en-US"/>
        </w:rPr>
        <w:t xml:space="preserve">From table 6, the F statistic is </w:t>
      </w:r>
      <w:r w:rsidR="005262B7" w:rsidRPr="003C4771">
        <w:rPr>
          <w:bCs/>
          <w:szCs w:val="24"/>
          <w:lang w:eastAsia="en-US"/>
        </w:rPr>
        <w:t>5.7178</w:t>
      </w:r>
      <w:r w:rsidRPr="003C4771">
        <w:rPr>
          <w:bCs/>
          <w:szCs w:val="24"/>
          <w:lang w:eastAsia="en-US"/>
        </w:rPr>
        <w:t>, and its associated p-value is 0.0</w:t>
      </w:r>
      <w:r w:rsidR="005262B7" w:rsidRPr="003C4771">
        <w:rPr>
          <w:bCs/>
          <w:szCs w:val="24"/>
          <w:lang w:eastAsia="en-US"/>
        </w:rPr>
        <w:t>009</w:t>
      </w:r>
      <w:r w:rsidRPr="003C4771">
        <w:rPr>
          <w:bCs/>
          <w:szCs w:val="24"/>
          <w:lang w:eastAsia="en-US"/>
        </w:rPr>
        <w:t xml:space="preserve"> which is </w:t>
      </w:r>
      <w:r w:rsidR="005262B7" w:rsidRPr="003C4771">
        <w:rPr>
          <w:bCs/>
          <w:szCs w:val="24"/>
          <w:lang w:eastAsia="en-US"/>
        </w:rPr>
        <w:t>less</w:t>
      </w:r>
      <w:r w:rsidRPr="003C4771">
        <w:rPr>
          <w:bCs/>
          <w:szCs w:val="24"/>
          <w:lang w:eastAsia="en-US"/>
        </w:rPr>
        <w:t xml:space="preserve"> than the significance level of 0.01. The null hypothesis will, therefore, be rejected leading to the conclusion that </w:t>
      </w:r>
      <w:r w:rsidRPr="003C4771">
        <w:rPr>
          <w:szCs w:val="24"/>
          <w:lang w:eastAsia="en-US"/>
        </w:rPr>
        <w:t xml:space="preserve">there is a statistically significant difference between </w:t>
      </w:r>
      <w:r w:rsidR="00C1669D" w:rsidRPr="003C4771">
        <w:rPr>
          <w:bCs/>
          <w:szCs w:val="24"/>
          <w:lang w:eastAsia="en-US"/>
        </w:rPr>
        <w:t xml:space="preserve">non-mortgage household debt </w:t>
      </w:r>
      <w:r w:rsidRPr="003C4771">
        <w:rPr>
          <w:bCs/>
          <w:szCs w:val="24"/>
          <w:lang w:eastAsia="en-US"/>
        </w:rPr>
        <w:t>in the four geographic regions of the U.S. at a 1% level o</w:t>
      </w:r>
      <w:r w:rsidR="00C01FC7" w:rsidRPr="003C4771">
        <w:rPr>
          <w:bCs/>
          <w:szCs w:val="24"/>
          <w:lang w:eastAsia="en-US"/>
        </w:rPr>
        <w:t xml:space="preserve">f significance. On average, </w:t>
      </w:r>
      <w:r w:rsidR="00A23C5D" w:rsidRPr="003C4771">
        <w:rPr>
          <w:bCs/>
          <w:szCs w:val="24"/>
          <w:lang w:eastAsia="en-US"/>
        </w:rPr>
        <w:t>non-mortgage household debt</w:t>
      </w:r>
      <w:r w:rsidR="00AC0CB2" w:rsidRPr="003C4771">
        <w:rPr>
          <w:bCs/>
          <w:szCs w:val="24"/>
          <w:lang w:eastAsia="en-US"/>
        </w:rPr>
        <w:t xml:space="preserve"> in</w:t>
      </w:r>
      <w:r w:rsidRPr="003C4771">
        <w:rPr>
          <w:bCs/>
          <w:szCs w:val="24"/>
          <w:lang w:eastAsia="en-US"/>
        </w:rPr>
        <w:t xml:space="preserve"> four regions in the U.S. was found to be $</w:t>
      </w:r>
      <w:r w:rsidR="00A118BA" w:rsidRPr="003C4771">
        <w:rPr>
          <w:bCs/>
          <w:szCs w:val="24"/>
          <w:lang w:eastAsia="en-US"/>
        </w:rPr>
        <w:t>13,742.61</w:t>
      </w:r>
      <w:r w:rsidRPr="003C4771">
        <w:rPr>
          <w:bCs/>
          <w:szCs w:val="24"/>
          <w:lang w:eastAsia="en-US"/>
        </w:rPr>
        <w:t xml:space="preserve"> in </w:t>
      </w:r>
      <w:r w:rsidRPr="003C4771">
        <w:rPr>
          <w:bCs/>
          <w:szCs w:val="24"/>
          <w:lang w:eastAsia="en-US"/>
        </w:rPr>
        <w:t>Northeast, $</w:t>
      </w:r>
      <w:r w:rsidR="00A118BA" w:rsidRPr="003C4771">
        <w:rPr>
          <w:bCs/>
          <w:szCs w:val="24"/>
          <w:lang w:eastAsia="en-US"/>
        </w:rPr>
        <w:t>12,807.16</w:t>
      </w:r>
      <w:r w:rsidRPr="003C4771">
        <w:rPr>
          <w:bCs/>
          <w:szCs w:val="24"/>
          <w:lang w:eastAsia="en-US"/>
        </w:rPr>
        <w:t xml:space="preserve"> in Midwest, $</w:t>
      </w:r>
      <w:r w:rsidR="00A118BA" w:rsidRPr="003C4771">
        <w:rPr>
          <w:bCs/>
          <w:szCs w:val="24"/>
          <w:lang w:eastAsia="en-US"/>
        </w:rPr>
        <w:t>18,716.9551</w:t>
      </w:r>
      <w:r w:rsidRPr="003C4771">
        <w:rPr>
          <w:bCs/>
          <w:szCs w:val="24"/>
          <w:lang w:eastAsia="en-US"/>
        </w:rPr>
        <w:t xml:space="preserve"> in South and $</w:t>
      </w:r>
      <w:r w:rsidR="00A118BA" w:rsidRPr="003C4771">
        <w:rPr>
          <w:bCs/>
          <w:szCs w:val="24"/>
          <w:lang w:eastAsia="en-US"/>
        </w:rPr>
        <w:t>17,659.54</w:t>
      </w:r>
      <w:r w:rsidRPr="003C4771">
        <w:rPr>
          <w:bCs/>
          <w:szCs w:val="24"/>
          <w:lang w:eastAsia="en-US"/>
        </w:rPr>
        <w:t xml:space="preserve"> in West region of U.S.</w:t>
      </w:r>
      <w:r w:rsidR="00AF7315" w:rsidRPr="003C4771">
        <w:rPr>
          <w:bCs/>
          <w:szCs w:val="24"/>
          <w:lang w:eastAsia="en-US"/>
        </w:rPr>
        <w:t xml:space="preserve"> These variations are </w:t>
      </w:r>
      <w:r w:rsidR="00AF7315" w:rsidRPr="003C4771">
        <w:rPr>
          <w:bCs/>
          <w:szCs w:val="24"/>
          <w:lang w:eastAsia="en-US"/>
        </w:rPr>
        <w:lastRenderedPageBreak/>
        <w:t>statistically significant at 1% level</w:t>
      </w:r>
      <w:r w:rsidR="00A57853" w:rsidRPr="003C4771">
        <w:rPr>
          <w:bCs/>
          <w:szCs w:val="24"/>
          <w:lang w:eastAsia="en-US"/>
        </w:rPr>
        <w:t xml:space="preserve"> of significance</w:t>
      </w:r>
      <w:r w:rsidR="00AF7315" w:rsidRPr="003C4771">
        <w:rPr>
          <w:bCs/>
          <w:szCs w:val="24"/>
          <w:lang w:eastAsia="en-US"/>
        </w:rPr>
        <w:t>.</w:t>
      </w:r>
    </w:p>
    <w:p w:rsidR="00271EED" w:rsidRPr="003C4771" w:rsidRDefault="004E462A" w:rsidP="00A36A75">
      <w:pPr>
        <w:pStyle w:val="APALevel1"/>
        <w:spacing w:before="0"/>
      </w:pPr>
      <w:r w:rsidRPr="003C4771">
        <w:t>Conclusion and recommendations</w:t>
      </w:r>
    </w:p>
    <w:p w:rsidR="00642A28" w:rsidRPr="003C4771" w:rsidRDefault="004E462A" w:rsidP="00A36A75">
      <w:pPr>
        <w:pStyle w:val="BodyText"/>
        <w:spacing w:after="0" w:line="480" w:lineRule="auto"/>
        <w:ind w:firstLine="720"/>
        <w:rPr>
          <w:szCs w:val="24"/>
          <w:lang w:eastAsia="en-US"/>
        </w:rPr>
      </w:pPr>
      <w:r w:rsidRPr="003C4771">
        <w:rPr>
          <w:szCs w:val="24"/>
          <w:lang w:eastAsia="en-US"/>
        </w:rPr>
        <w:t>Based on the first objective, the study findings</w:t>
      </w:r>
      <w:r w:rsidRPr="003C4771">
        <w:rPr>
          <w:szCs w:val="24"/>
          <w:lang w:eastAsia="en-US"/>
        </w:rPr>
        <w:t xml:space="preserve"> indicated that </w:t>
      </w:r>
      <w:r w:rsidRPr="003C4771">
        <w:rPr>
          <w:bCs/>
          <w:szCs w:val="24"/>
          <w:lang w:eastAsia="en-US"/>
        </w:rPr>
        <w:t>the average annual food spending for a household in the Midwest region of the U.S. was found not be statistically significantly more than $8,000 at 1% level of significance.</w:t>
      </w:r>
      <w:r w:rsidR="00F00324" w:rsidRPr="003C4771">
        <w:rPr>
          <w:bCs/>
          <w:szCs w:val="24"/>
          <w:lang w:eastAsia="en-US"/>
        </w:rPr>
        <w:t xml:space="preserve"> </w:t>
      </w:r>
      <w:r w:rsidRPr="003C4771">
        <w:rPr>
          <w:bCs/>
          <w:szCs w:val="24"/>
          <w:lang w:eastAsia="en-US"/>
        </w:rPr>
        <w:t xml:space="preserve"> Secondly, annual food spending amongst households in a metropolit</w:t>
      </w:r>
      <w:r w:rsidRPr="003C4771">
        <w:rPr>
          <w:bCs/>
          <w:szCs w:val="24"/>
          <w:lang w:eastAsia="en-US"/>
        </w:rPr>
        <w:t>an area and households outside metropolitan areas were found to be</w:t>
      </w:r>
      <w:r w:rsidRPr="003C4771">
        <w:rPr>
          <w:szCs w:val="24"/>
          <w:lang w:eastAsia="en-US"/>
        </w:rPr>
        <w:t xml:space="preserve"> statistically significantly different </w:t>
      </w:r>
      <w:r w:rsidR="00250C36" w:rsidRPr="003C4771">
        <w:rPr>
          <w:bCs/>
          <w:szCs w:val="24"/>
          <w:lang w:eastAsia="en-US"/>
        </w:rPr>
        <w:t>at 1% significance level</w:t>
      </w:r>
      <w:r w:rsidRPr="003C4771">
        <w:rPr>
          <w:bCs/>
          <w:szCs w:val="24"/>
          <w:lang w:eastAsia="en-US"/>
        </w:rPr>
        <w:t xml:space="preserve">. </w:t>
      </w:r>
      <w:r w:rsidR="00250C36" w:rsidRPr="003C4771">
        <w:rPr>
          <w:bCs/>
          <w:szCs w:val="24"/>
          <w:lang w:eastAsia="en-US"/>
        </w:rPr>
        <w:t>Average</w:t>
      </w:r>
      <w:r w:rsidRPr="003C4771">
        <w:rPr>
          <w:szCs w:val="24"/>
          <w:lang w:eastAsia="en-US"/>
        </w:rPr>
        <w:t xml:space="preserve"> </w:t>
      </w:r>
      <w:r w:rsidRPr="003C4771">
        <w:rPr>
          <w:bCs/>
          <w:szCs w:val="24"/>
          <w:lang w:eastAsia="en-US"/>
        </w:rPr>
        <w:t>annual food spending amongst households in a metropolitan area is $9,435.93 which is statistically significantly more</w:t>
      </w:r>
      <w:r w:rsidRPr="003C4771">
        <w:rPr>
          <w:bCs/>
          <w:szCs w:val="24"/>
          <w:lang w:eastAsia="en-US"/>
        </w:rPr>
        <w:t xml:space="preserve"> significant than the </w:t>
      </w:r>
      <w:r w:rsidRPr="003C4771">
        <w:rPr>
          <w:szCs w:val="24"/>
          <w:lang w:eastAsia="en-US"/>
        </w:rPr>
        <w:t xml:space="preserve">mean </w:t>
      </w:r>
      <w:r w:rsidRPr="003C4771">
        <w:rPr>
          <w:bCs/>
          <w:szCs w:val="24"/>
          <w:lang w:eastAsia="en-US"/>
        </w:rPr>
        <w:t xml:space="preserve">annual food spending amongst households outside metropolitan areas of $8,261.26. </w:t>
      </w:r>
      <w:r w:rsidR="00F00324" w:rsidRPr="003C4771">
        <w:rPr>
          <w:bCs/>
          <w:szCs w:val="24"/>
          <w:lang w:eastAsia="en-US"/>
        </w:rPr>
        <w:t xml:space="preserve">Thus food producing companies should </w:t>
      </w:r>
      <w:r w:rsidR="00DF3C8A" w:rsidRPr="003C4771">
        <w:rPr>
          <w:bCs/>
          <w:szCs w:val="24"/>
          <w:lang w:eastAsia="en-US"/>
        </w:rPr>
        <w:t>focus on increasing food consumption levels in areas outside through means such as marketing</w:t>
      </w:r>
      <w:r w:rsidR="00F00324" w:rsidRPr="003C4771">
        <w:rPr>
          <w:bCs/>
          <w:szCs w:val="24"/>
          <w:lang w:eastAsia="en-US"/>
        </w:rPr>
        <w:t xml:space="preserve"> </w:t>
      </w:r>
      <w:r w:rsidR="00DF3C8A" w:rsidRPr="003C4771">
        <w:rPr>
          <w:bCs/>
          <w:szCs w:val="24"/>
          <w:lang w:eastAsia="en-US"/>
        </w:rPr>
        <w:t xml:space="preserve">and also increasing their products supplies. High consumer spending in metropolitan areas is indicative of higher market demand, and thus new investors on food staffs should take advantage of higher market demand </w:t>
      </w:r>
      <w:r w:rsidR="00D34AFB" w:rsidRPr="003C4771">
        <w:rPr>
          <w:bCs/>
          <w:szCs w:val="24"/>
          <w:lang w:eastAsia="en-US"/>
        </w:rPr>
        <w:t>in these areas.</w:t>
      </w:r>
    </w:p>
    <w:p w:rsidR="006E1482" w:rsidRPr="003C4771" w:rsidRDefault="004E462A" w:rsidP="00A36A75">
      <w:pPr>
        <w:pStyle w:val="BodyText"/>
        <w:spacing w:after="0" w:line="480" w:lineRule="auto"/>
        <w:rPr>
          <w:bCs/>
          <w:szCs w:val="24"/>
          <w:lang w:eastAsia="en-US"/>
        </w:rPr>
      </w:pPr>
      <w:r w:rsidRPr="003C4771">
        <w:rPr>
          <w:bCs/>
          <w:szCs w:val="24"/>
          <w:lang w:eastAsia="en-US"/>
        </w:rPr>
        <w:t>Based on the third objective, the findings in</w:t>
      </w:r>
      <w:r w:rsidRPr="003C4771">
        <w:rPr>
          <w:bCs/>
          <w:szCs w:val="24"/>
          <w:lang w:eastAsia="en-US"/>
        </w:rPr>
        <w:t xml:space="preserve">dicated that </w:t>
      </w:r>
      <w:r w:rsidR="00250C36" w:rsidRPr="003C4771">
        <w:rPr>
          <w:bCs/>
          <w:szCs w:val="24"/>
          <w:lang w:eastAsia="en-US"/>
        </w:rPr>
        <w:t xml:space="preserve">average </w:t>
      </w:r>
      <w:r w:rsidRPr="003C4771">
        <w:rPr>
          <w:bCs/>
          <w:szCs w:val="24"/>
          <w:lang w:eastAsia="en-US"/>
        </w:rPr>
        <w:t xml:space="preserve">annual food spending and annual household income did not </w:t>
      </w:r>
      <w:r w:rsidRPr="003C4771">
        <w:rPr>
          <w:szCs w:val="24"/>
          <w:lang w:eastAsia="en-US"/>
        </w:rPr>
        <w:t xml:space="preserve">statistically significantly differ across </w:t>
      </w:r>
      <w:r w:rsidRPr="003C4771">
        <w:rPr>
          <w:bCs/>
          <w:szCs w:val="24"/>
          <w:lang w:eastAsia="en-US"/>
        </w:rPr>
        <w:t>the four geographic regions of the U.S.</w:t>
      </w:r>
      <w:r w:rsidR="00F00324" w:rsidRPr="003C4771">
        <w:rPr>
          <w:bCs/>
          <w:szCs w:val="24"/>
          <w:lang w:eastAsia="en-US"/>
        </w:rPr>
        <w:t xml:space="preserve"> </w:t>
      </w:r>
      <w:r w:rsidR="00D34AFB" w:rsidRPr="003C4771">
        <w:rPr>
          <w:bCs/>
          <w:szCs w:val="24"/>
          <w:lang w:eastAsia="en-US"/>
        </w:rPr>
        <w:t xml:space="preserve">However, </w:t>
      </w:r>
      <w:r w:rsidR="005D121B" w:rsidRPr="003C4771">
        <w:rPr>
          <w:bCs/>
          <w:szCs w:val="24"/>
          <w:lang w:eastAsia="en-US"/>
        </w:rPr>
        <w:t xml:space="preserve">non-mortgage household debt </w:t>
      </w:r>
      <w:r w:rsidR="00D34AFB" w:rsidRPr="003C4771">
        <w:rPr>
          <w:bCs/>
          <w:szCs w:val="24"/>
          <w:lang w:eastAsia="en-US"/>
        </w:rPr>
        <w:t xml:space="preserve">in the four geographic regions of the U.S. </w:t>
      </w:r>
      <w:r w:rsidR="005D121B" w:rsidRPr="003C4771">
        <w:rPr>
          <w:bCs/>
          <w:szCs w:val="24"/>
          <w:lang w:eastAsia="en-US"/>
        </w:rPr>
        <w:t xml:space="preserve">was found to differ </w:t>
      </w:r>
      <w:r w:rsidR="005D121B" w:rsidRPr="003C4771">
        <w:rPr>
          <w:szCs w:val="24"/>
          <w:lang w:eastAsia="en-US"/>
        </w:rPr>
        <w:t xml:space="preserve">significantly </w:t>
      </w:r>
      <w:r w:rsidR="00D34AFB" w:rsidRPr="003C4771">
        <w:rPr>
          <w:bCs/>
          <w:szCs w:val="24"/>
          <w:lang w:eastAsia="en-US"/>
        </w:rPr>
        <w:t xml:space="preserve">at 1% level </w:t>
      </w:r>
      <w:r w:rsidR="00C01FC7" w:rsidRPr="003C4771">
        <w:rPr>
          <w:bCs/>
          <w:szCs w:val="24"/>
          <w:lang w:eastAsia="en-US"/>
        </w:rPr>
        <w:t>of significance. On average,</w:t>
      </w:r>
      <w:r w:rsidR="00D34AFB" w:rsidRPr="003C4771">
        <w:rPr>
          <w:bCs/>
          <w:szCs w:val="24"/>
          <w:lang w:eastAsia="en-US"/>
        </w:rPr>
        <w:t xml:space="preserve"> </w:t>
      </w:r>
      <w:r w:rsidR="00A23C5D" w:rsidRPr="003C4771">
        <w:rPr>
          <w:bCs/>
          <w:szCs w:val="24"/>
          <w:lang w:eastAsia="en-US"/>
        </w:rPr>
        <w:t xml:space="preserve">non-mortgage household debt </w:t>
      </w:r>
      <w:r w:rsidR="00AC0CB2" w:rsidRPr="003C4771">
        <w:rPr>
          <w:bCs/>
          <w:szCs w:val="24"/>
          <w:lang w:eastAsia="en-US"/>
        </w:rPr>
        <w:t>in</w:t>
      </w:r>
      <w:r w:rsidR="00D34AFB" w:rsidRPr="003C4771">
        <w:rPr>
          <w:bCs/>
          <w:szCs w:val="24"/>
          <w:lang w:eastAsia="en-US"/>
        </w:rPr>
        <w:t xml:space="preserve"> four regions in the U.S. was found to be $13,742.61 in Northeast, $12,807.16 in Midwest, $18,716.9551 in South and $17,659.54 in West region of U.S. </w:t>
      </w:r>
      <w:r w:rsidR="004963C1" w:rsidRPr="003C4771">
        <w:rPr>
          <w:bCs/>
          <w:szCs w:val="24"/>
          <w:lang w:eastAsia="en-US"/>
        </w:rPr>
        <w:t>Thus lenders should consider geographical regions as a risk factor when issuing loans</w:t>
      </w:r>
      <w:r w:rsidR="00254FCC" w:rsidRPr="003C4771">
        <w:rPr>
          <w:bCs/>
          <w:szCs w:val="24"/>
          <w:lang w:eastAsia="en-US"/>
        </w:rPr>
        <w:t xml:space="preserve"> to their customers.</w:t>
      </w:r>
      <w:r w:rsidR="00A57853" w:rsidRPr="003C4771">
        <w:rPr>
          <w:bCs/>
          <w:szCs w:val="24"/>
          <w:lang w:eastAsia="en-US"/>
        </w:rPr>
        <w:t xml:space="preserve"> </w:t>
      </w:r>
      <w:r w:rsidR="00785F49" w:rsidRPr="003C4771">
        <w:rPr>
          <w:bCs/>
          <w:szCs w:val="24"/>
          <w:lang w:eastAsia="en-US"/>
        </w:rPr>
        <w:t xml:space="preserve">Midwest </w:t>
      </w:r>
      <w:r w:rsidR="00C83C0F" w:rsidRPr="003C4771">
        <w:rPr>
          <w:bCs/>
          <w:szCs w:val="24"/>
          <w:lang w:eastAsia="en-US"/>
        </w:rPr>
        <w:t xml:space="preserve">was found to have </w:t>
      </w:r>
      <w:r w:rsidR="00785F49" w:rsidRPr="003C4771">
        <w:rPr>
          <w:bCs/>
          <w:szCs w:val="24"/>
          <w:lang w:eastAsia="en-US"/>
        </w:rPr>
        <w:t>a higher non-mortgage household debt level while Northeast has the lowest level.</w:t>
      </w:r>
    </w:p>
    <w:p w:rsidR="0076515F" w:rsidRPr="003C4771" w:rsidRDefault="004E462A" w:rsidP="00A36A75">
      <w:pPr>
        <w:pStyle w:val="BodyText"/>
        <w:spacing w:after="0" w:line="480" w:lineRule="auto"/>
        <w:rPr>
          <w:bCs/>
          <w:szCs w:val="24"/>
          <w:lang w:eastAsia="en-US"/>
        </w:rPr>
      </w:pPr>
      <w:r w:rsidRPr="003C4771">
        <w:rPr>
          <w:bCs/>
          <w:szCs w:val="24"/>
          <w:lang w:eastAsia="en-US"/>
        </w:rPr>
        <w:t xml:space="preserve">Including age composition across the regions to allow analysis by age might lead to a different </w:t>
      </w:r>
      <w:r w:rsidRPr="003C4771">
        <w:rPr>
          <w:bCs/>
          <w:szCs w:val="24"/>
          <w:lang w:eastAsia="en-US"/>
        </w:rPr>
        <w:lastRenderedPageBreak/>
        <w:t>conclusion since consumption and income levels depend on age.</w:t>
      </w:r>
    </w:p>
    <w:p w:rsidR="003C4771" w:rsidRPr="003C4771" w:rsidRDefault="004E462A" w:rsidP="00A36A75">
      <w:pPr>
        <w:widowControl/>
        <w:spacing w:line="480" w:lineRule="auto"/>
        <w:contextualSpacing w:val="0"/>
        <w:jc w:val="left"/>
        <w:rPr>
          <w:bCs/>
          <w:szCs w:val="24"/>
          <w:lang w:eastAsia="en-US"/>
        </w:rPr>
      </w:pPr>
      <w:r w:rsidRPr="003C4771">
        <w:rPr>
          <w:bCs/>
          <w:szCs w:val="24"/>
          <w:lang w:eastAsia="en-US"/>
        </w:rPr>
        <w:br w:type="page"/>
      </w:r>
    </w:p>
    <w:p w:rsidR="0077027C" w:rsidRPr="003C4771" w:rsidRDefault="004E462A" w:rsidP="00A36A75">
      <w:pPr>
        <w:pStyle w:val="BodyText"/>
        <w:spacing w:after="0" w:line="480" w:lineRule="auto"/>
        <w:jc w:val="center"/>
        <w:rPr>
          <w:bCs/>
          <w:szCs w:val="24"/>
          <w:lang w:eastAsia="en-US"/>
        </w:rPr>
      </w:pPr>
      <w:r w:rsidRPr="003C4771">
        <w:rPr>
          <w:bCs/>
          <w:szCs w:val="24"/>
          <w:lang w:eastAsia="en-US"/>
        </w:rPr>
        <w:lastRenderedPageBreak/>
        <w:t>References</w:t>
      </w:r>
    </w:p>
    <w:p w:rsidR="003C4771" w:rsidRPr="0077027C" w:rsidRDefault="004E462A" w:rsidP="00A36A75">
      <w:pPr>
        <w:widowControl/>
        <w:spacing w:line="480" w:lineRule="auto"/>
        <w:ind w:left="720" w:hanging="720"/>
        <w:contextualSpacing w:val="0"/>
        <w:rPr>
          <w:rFonts w:eastAsia="Times New Roman"/>
          <w:kern w:val="0"/>
          <w:szCs w:val="24"/>
          <w:lang w:eastAsia="en-US"/>
        </w:rPr>
      </w:pPr>
      <w:r w:rsidRPr="0077027C">
        <w:rPr>
          <w:rFonts w:eastAsia="Times New Roman"/>
          <w:kern w:val="0"/>
          <w:szCs w:val="24"/>
          <w:lang w:eastAsia="en-US"/>
        </w:rPr>
        <w:t>Davis, C., &amp; McQuestion, J. (2017). Bayesian Inferential Statistics Implemented in R.</w:t>
      </w:r>
    </w:p>
    <w:p w:rsidR="003C4771" w:rsidRPr="0077027C" w:rsidRDefault="004E462A" w:rsidP="00A36A75">
      <w:pPr>
        <w:widowControl/>
        <w:spacing w:line="480" w:lineRule="auto"/>
        <w:ind w:left="720" w:hanging="720"/>
        <w:contextualSpacing w:val="0"/>
        <w:rPr>
          <w:rFonts w:eastAsia="Times New Roman"/>
          <w:kern w:val="0"/>
          <w:szCs w:val="24"/>
          <w:lang w:eastAsia="en-US"/>
        </w:rPr>
      </w:pPr>
      <w:r w:rsidRPr="0077027C">
        <w:rPr>
          <w:rFonts w:eastAsia="Times New Roman"/>
          <w:kern w:val="0"/>
          <w:szCs w:val="24"/>
          <w:lang w:eastAsia="en-US"/>
        </w:rPr>
        <w:t xml:space="preserve">George, D., &amp; Mallery, P. (2016). Descriptive statistics. In </w:t>
      </w:r>
      <w:r w:rsidRPr="0077027C">
        <w:rPr>
          <w:rFonts w:eastAsia="Times New Roman"/>
          <w:i/>
          <w:iCs/>
          <w:kern w:val="0"/>
          <w:szCs w:val="24"/>
          <w:lang w:eastAsia="en-US"/>
        </w:rPr>
        <w:t>IBM SPSS Statistics 23 Step by Step</w:t>
      </w:r>
      <w:r w:rsidRPr="0077027C">
        <w:rPr>
          <w:rFonts w:eastAsia="Times New Roman"/>
          <w:kern w:val="0"/>
          <w:szCs w:val="24"/>
          <w:lang w:eastAsia="en-US"/>
        </w:rPr>
        <w:t xml:space="preserve"> (pp. 126-134). Routledge.</w:t>
      </w:r>
    </w:p>
    <w:p w:rsidR="003C4771" w:rsidRPr="003C4771" w:rsidRDefault="004E462A" w:rsidP="00A36A75">
      <w:pPr>
        <w:pStyle w:val="BodyText"/>
        <w:spacing w:after="0" w:line="480" w:lineRule="auto"/>
        <w:ind w:left="720" w:hanging="720"/>
        <w:rPr>
          <w:szCs w:val="24"/>
        </w:rPr>
      </w:pPr>
      <w:r w:rsidRPr="003C4771">
        <w:rPr>
          <w:szCs w:val="24"/>
        </w:rPr>
        <w:t xml:space="preserve">Holcomb, Z. C. (2016). </w:t>
      </w:r>
      <w:r w:rsidRPr="003C4771">
        <w:rPr>
          <w:i/>
          <w:iCs/>
          <w:szCs w:val="24"/>
        </w:rPr>
        <w:t>Fundamentals of descriptive statistics</w:t>
      </w:r>
      <w:r w:rsidRPr="003C4771">
        <w:rPr>
          <w:szCs w:val="24"/>
        </w:rPr>
        <w:t>. Routledge.</w:t>
      </w:r>
    </w:p>
    <w:p w:rsidR="0077027C" w:rsidRPr="003C4771" w:rsidRDefault="0077027C" w:rsidP="00A36A75">
      <w:pPr>
        <w:pStyle w:val="BodyText"/>
        <w:spacing w:after="0" w:line="480" w:lineRule="auto"/>
        <w:rPr>
          <w:bCs/>
          <w:szCs w:val="24"/>
          <w:lang w:eastAsia="en-US"/>
        </w:rPr>
      </w:pPr>
    </w:p>
    <w:sectPr w:rsidR="0077027C" w:rsidRPr="003C4771" w:rsidSect="0077027C">
      <w:headerReference w:type="default" r:id="rId15"/>
      <w:headerReference w:type="first" r:id="rId16"/>
      <w:pgSz w:w="12240" w:h="15840"/>
      <w:pgMar w:top="1440" w:right="1440" w:bottom="1440" w:left="1440" w:header="1440" w:footer="144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62A" w:rsidRDefault="004E462A">
      <w:pPr>
        <w:spacing w:line="240" w:lineRule="auto"/>
      </w:pPr>
      <w:r>
        <w:separator/>
      </w:r>
    </w:p>
  </w:endnote>
  <w:endnote w:type="continuationSeparator" w:id="0">
    <w:p w:rsidR="004E462A" w:rsidRDefault="004E46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62A" w:rsidRDefault="004E462A">
      <w:pPr>
        <w:spacing w:line="240" w:lineRule="auto"/>
      </w:pPr>
      <w:r>
        <w:separator/>
      </w:r>
    </w:p>
  </w:footnote>
  <w:footnote w:type="continuationSeparator" w:id="0">
    <w:p w:rsidR="004E462A" w:rsidRDefault="004E46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991830"/>
      <w:docPartObj>
        <w:docPartGallery w:val="Page Numbers (Top of Page)"/>
        <w:docPartUnique/>
      </w:docPartObj>
    </w:sdtPr>
    <w:sdtEndPr>
      <w:rPr>
        <w:noProof/>
      </w:rPr>
    </w:sdtEndPr>
    <w:sdtContent>
      <w:p w:rsidR="00F00324" w:rsidRDefault="004E462A">
        <w:pPr>
          <w:pStyle w:val="Header"/>
          <w:jc w:val="right"/>
        </w:pPr>
        <w:r>
          <w:fldChar w:fldCharType="begin"/>
        </w:r>
        <w:r>
          <w:instrText xml:space="preserve"> PAGE   \* MERGEFORMAT </w:instrText>
        </w:r>
        <w:r>
          <w:fldChar w:fldCharType="separate"/>
        </w:r>
        <w:r w:rsidR="00A36A75">
          <w:rPr>
            <w:noProof/>
          </w:rPr>
          <w:t>3</w:t>
        </w:r>
        <w:r>
          <w:rPr>
            <w:noProof/>
          </w:rPr>
          <w:fldChar w:fldCharType="end"/>
        </w:r>
      </w:p>
    </w:sdtContent>
  </w:sdt>
  <w:p w:rsidR="00F00324" w:rsidRDefault="004E462A">
    <w:pPr>
      <w:pStyle w:val="Header"/>
    </w:pPr>
    <w:r w:rsidRPr="0077027C">
      <w:t>REPORT ON CONSUMPTION IN THE UNITED STATES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27C" w:rsidRDefault="004E462A">
    <w:pPr>
      <w:pStyle w:val="Header"/>
    </w:pPr>
    <w:r>
      <w:t xml:space="preserve">Running head: </w:t>
    </w:r>
    <w:r w:rsidRPr="0077027C">
      <w:t>REPORT ON CONSUMPTION IN THE UNITED STATES</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A08B8"/>
    <w:multiLevelType w:val="multilevel"/>
    <w:tmpl w:val="0108EB0C"/>
    <w:lvl w:ilvl="0">
      <w:start w:val="4"/>
      <w:numFmt w:val="decimal"/>
      <w:lvlText w:val="%1"/>
      <w:lvlJc w:val="left"/>
      <w:pPr>
        <w:ind w:left="432" w:hanging="432"/>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23C6171D"/>
    <w:multiLevelType w:val="hybridMultilevel"/>
    <w:tmpl w:val="AFA007CC"/>
    <w:lvl w:ilvl="0" w:tplc="A29E148C">
      <w:start w:val="1"/>
      <w:numFmt w:val="lowerRoman"/>
      <w:lvlText w:val="%1."/>
      <w:lvlJc w:val="right"/>
      <w:pPr>
        <w:ind w:left="720" w:hanging="360"/>
      </w:pPr>
    </w:lvl>
    <w:lvl w:ilvl="1" w:tplc="8E0259FE" w:tentative="1">
      <w:start w:val="1"/>
      <w:numFmt w:val="lowerLetter"/>
      <w:lvlText w:val="%2."/>
      <w:lvlJc w:val="left"/>
      <w:pPr>
        <w:ind w:left="1440" w:hanging="360"/>
      </w:pPr>
    </w:lvl>
    <w:lvl w:ilvl="2" w:tplc="C9DA660E" w:tentative="1">
      <w:start w:val="1"/>
      <w:numFmt w:val="lowerRoman"/>
      <w:lvlText w:val="%3."/>
      <w:lvlJc w:val="right"/>
      <w:pPr>
        <w:ind w:left="2160" w:hanging="180"/>
      </w:pPr>
    </w:lvl>
    <w:lvl w:ilvl="3" w:tplc="86D29D96" w:tentative="1">
      <w:start w:val="1"/>
      <w:numFmt w:val="decimal"/>
      <w:lvlText w:val="%4."/>
      <w:lvlJc w:val="left"/>
      <w:pPr>
        <w:ind w:left="2880" w:hanging="360"/>
      </w:pPr>
    </w:lvl>
    <w:lvl w:ilvl="4" w:tplc="F8465D0C" w:tentative="1">
      <w:start w:val="1"/>
      <w:numFmt w:val="lowerLetter"/>
      <w:lvlText w:val="%5."/>
      <w:lvlJc w:val="left"/>
      <w:pPr>
        <w:ind w:left="3600" w:hanging="360"/>
      </w:pPr>
    </w:lvl>
    <w:lvl w:ilvl="5" w:tplc="12BAC5B6" w:tentative="1">
      <w:start w:val="1"/>
      <w:numFmt w:val="lowerRoman"/>
      <w:lvlText w:val="%6."/>
      <w:lvlJc w:val="right"/>
      <w:pPr>
        <w:ind w:left="4320" w:hanging="180"/>
      </w:pPr>
    </w:lvl>
    <w:lvl w:ilvl="6" w:tplc="6B680A9C" w:tentative="1">
      <w:start w:val="1"/>
      <w:numFmt w:val="decimal"/>
      <w:lvlText w:val="%7."/>
      <w:lvlJc w:val="left"/>
      <w:pPr>
        <w:ind w:left="5040" w:hanging="360"/>
      </w:pPr>
    </w:lvl>
    <w:lvl w:ilvl="7" w:tplc="678E4D8E" w:tentative="1">
      <w:start w:val="1"/>
      <w:numFmt w:val="lowerLetter"/>
      <w:lvlText w:val="%8."/>
      <w:lvlJc w:val="left"/>
      <w:pPr>
        <w:ind w:left="5760" w:hanging="360"/>
      </w:pPr>
    </w:lvl>
    <w:lvl w:ilvl="8" w:tplc="A378D478" w:tentative="1">
      <w:start w:val="1"/>
      <w:numFmt w:val="lowerRoman"/>
      <w:lvlText w:val="%9."/>
      <w:lvlJc w:val="right"/>
      <w:pPr>
        <w:ind w:left="6480" w:hanging="180"/>
      </w:pPr>
    </w:lvl>
  </w:abstractNum>
  <w:abstractNum w:abstractNumId="2" w15:restartNumberingAfterBreak="0">
    <w:nsid w:val="536E6D61"/>
    <w:multiLevelType w:val="multilevel"/>
    <w:tmpl w:val="2F9E4D5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55E751E7"/>
    <w:multiLevelType w:val="hybridMultilevel"/>
    <w:tmpl w:val="9E6C0CF4"/>
    <w:lvl w:ilvl="0" w:tplc="358CA2B6">
      <w:start w:val="1"/>
      <w:numFmt w:val="lowerRoman"/>
      <w:lvlText w:val="%1."/>
      <w:lvlJc w:val="right"/>
      <w:pPr>
        <w:ind w:left="720" w:hanging="360"/>
      </w:pPr>
    </w:lvl>
    <w:lvl w:ilvl="1" w:tplc="B0BE117C" w:tentative="1">
      <w:start w:val="1"/>
      <w:numFmt w:val="lowerLetter"/>
      <w:lvlText w:val="%2."/>
      <w:lvlJc w:val="left"/>
      <w:pPr>
        <w:ind w:left="1440" w:hanging="360"/>
      </w:pPr>
    </w:lvl>
    <w:lvl w:ilvl="2" w:tplc="062866B8" w:tentative="1">
      <w:start w:val="1"/>
      <w:numFmt w:val="lowerRoman"/>
      <w:lvlText w:val="%3."/>
      <w:lvlJc w:val="right"/>
      <w:pPr>
        <w:ind w:left="2160" w:hanging="180"/>
      </w:pPr>
    </w:lvl>
    <w:lvl w:ilvl="3" w:tplc="15301372" w:tentative="1">
      <w:start w:val="1"/>
      <w:numFmt w:val="decimal"/>
      <w:lvlText w:val="%4."/>
      <w:lvlJc w:val="left"/>
      <w:pPr>
        <w:ind w:left="2880" w:hanging="360"/>
      </w:pPr>
    </w:lvl>
    <w:lvl w:ilvl="4" w:tplc="4210D142" w:tentative="1">
      <w:start w:val="1"/>
      <w:numFmt w:val="lowerLetter"/>
      <w:lvlText w:val="%5."/>
      <w:lvlJc w:val="left"/>
      <w:pPr>
        <w:ind w:left="3600" w:hanging="360"/>
      </w:pPr>
    </w:lvl>
    <w:lvl w:ilvl="5" w:tplc="6100A73A" w:tentative="1">
      <w:start w:val="1"/>
      <w:numFmt w:val="lowerRoman"/>
      <w:lvlText w:val="%6."/>
      <w:lvlJc w:val="right"/>
      <w:pPr>
        <w:ind w:left="4320" w:hanging="180"/>
      </w:pPr>
    </w:lvl>
    <w:lvl w:ilvl="6" w:tplc="0D9EC27A" w:tentative="1">
      <w:start w:val="1"/>
      <w:numFmt w:val="decimal"/>
      <w:lvlText w:val="%7."/>
      <w:lvlJc w:val="left"/>
      <w:pPr>
        <w:ind w:left="5040" w:hanging="360"/>
      </w:pPr>
    </w:lvl>
    <w:lvl w:ilvl="7" w:tplc="663CA7DE" w:tentative="1">
      <w:start w:val="1"/>
      <w:numFmt w:val="lowerLetter"/>
      <w:lvlText w:val="%8."/>
      <w:lvlJc w:val="left"/>
      <w:pPr>
        <w:ind w:left="5760" w:hanging="360"/>
      </w:pPr>
    </w:lvl>
    <w:lvl w:ilvl="8" w:tplc="A0C8A74E" w:tentative="1">
      <w:start w:val="1"/>
      <w:numFmt w:val="lowerRoman"/>
      <w:lvlText w:val="%9."/>
      <w:lvlJc w:val="right"/>
      <w:pPr>
        <w:ind w:left="6480" w:hanging="180"/>
      </w:pPr>
    </w:lvl>
  </w:abstractNum>
  <w:abstractNum w:abstractNumId="4" w15:restartNumberingAfterBreak="0">
    <w:nsid w:val="7BE84DFC"/>
    <w:multiLevelType w:val="hybridMultilevel"/>
    <w:tmpl w:val="AFA007CC"/>
    <w:lvl w:ilvl="0" w:tplc="524222A6">
      <w:start w:val="1"/>
      <w:numFmt w:val="lowerRoman"/>
      <w:lvlText w:val="%1."/>
      <w:lvlJc w:val="right"/>
      <w:pPr>
        <w:ind w:left="720" w:hanging="360"/>
      </w:pPr>
    </w:lvl>
    <w:lvl w:ilvl="1" w:tplc="B274A28E" w:tentative="1">
      <w:start w:val="1"/>
      <w:numFmt w:val="lowerLetter"/>
      <w:lvlText w:val="%2."/>
      <w:lvlJc w:val="left"/>
      <w:pPr>
        <w:ind w:left="1440" w:hanging="360"/>
      </w:pPr>
    </w:lvl>
    <w:lvl w:ilvl="2" w:tplc="D4DED340" w:tentative="1">
      <w:start w:val="1"/>
      <w:numFmt w:val="lowerRoman"/>
      <w:lvlText w:val="%3."/>
      <w:lvlJc w:val="right"/>
      <w:pPr>
        <w:ind w:left="2160" w:hanging="180"/>
      </w:pPr>
    </w:lvl>
    <w:lvl w:ilvl="3" w:tplc="EE3E73B4" w:tentative="1">
      <w:start w:val="1"/>
      <w:numFmt w:val="decimal"/>
      <w:lvlText w:val="%4."/>
      <w:lvlJc w:val="left"/>
      <w:pPr>
        <w:ind w:left="2880" w:hanging="360"/>
      </w:pPr>
    </w:lvl>
    <w:lvl w:ilvl="4" w:tplc="4898484C" w:tentative="1">
      <w:start w:val="1"/>
      <w:numFmt w:val="lowerLetter"/>
      <w:lvlText w:val="%5."/>
      <w:lvlJc w:val="left"/>
      <w:pPr>
        <w:ind w:left="3600" w:hanging="360"/>
      </w:pPr>
    </w:lvl>
    <w:lvl w:ilvl="5" w:tplc="DBE20C26" w:tentative="1">
      <w:start w:val="1"/>
      <w:numFmt w:val="lowerRoman"/>
      <w:lvlText w:val="%6."/>
      <w:lvlJc w:val="right"/>
      <w:pPr>
        <w:ind w:left="4320" w:hanging="180"/>
      </w:pPr>
    </w:lvl>
    <w:lvl w:ilvl="6" w:tplc="8A4E5D84" w:tentative="1">
      <w:start w:val="1"/>
      <w:numFmt w:val="decimal"/>
      <w:lvlText w:val="%7."/>
      <w:lvlJc w:val="left"/>
      <w:pPr>
        <w:ind w:left="5040" w:hanging="360"/>
      </w:pPr>
    </w:lvl>
    <w:lvl w:ilvl="7" w:tplc="2758B61A" w:tentative="1">
      <w:start w:val="1"/>
      <w:numFmt w:val="lowerLetter"/>
      <w:lvlText w:val="%8."/>
      <w:lvlJc w:val="left"/>
      <w:pPr>
        <w:ind w:left="5760" w:hanging="360"/>
      </w:pPr>
    </w:lvl>
    <w:lvl w:ilvl="8" w:tplc="90CEC934"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2"/>
  </w:num>
  <w:num w:numId="8">
    <w:abstractNumId w:val="2"/>
  </w:num>
  <w:num w:numId="9">
    <w:abstractNumId w:val="1"/>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482"/>
    <w:rsid w:val="0003503E"/>
    <w:rsid w:val="000353AA"/>
    <w:rsid w:val="00046CB7"/>
    <w:rsid w:val="00055CEC"/>
    <w:rsid w:val="000E21DE"/>
    <w:rsid w:val="000F0EEC"/>
    <w:rsid w:val="00112EFD"/>
    <w:rsid w:val="0014648E"/>
    <w:rsid w:val="001C2AE8"/>
    <w:rsid w:val="001E70A6"/>
    <w:rsid w:val="002003C1"/>
    <w:rsid w:val="002057BD"/>
    <w:rsid w:val="00244045"/>
    <w:rsid w:val="00247D13"/>
    <w:rsid w:val="00250C36"/>
    <w:rsid w:val="002525E1"/>
    <w:rsid w:val="00254FCC"/>
    <w:rsid w:val="00264C17"/>
    <w:rsid w:val="00271EED"/>
    <w:rsid w:val="0029006C"/>
    <w:rsid w:val="002960A6"/>
    <w:rsid w:val="002A31BE"/>
    <w:rsid w:val="003001FD"/>
    <w:rsid w:val="0032297B"/>
    <w:rsid w:val="00323C11"/>
    <w:rsid w:val="00326D07"/>
    <w:rsid w:val="00353A8F"/>
    <w:rsid w:val="00355B23"/>
    <w:rsid w:val="00357847"/>
    <w:rsid w:val="003630EC"/>
    <w:rsid w:val="003B709F"/>
    <w:rsid w:val="003C4771"/>
    <w:rsid w:val="003D25B6"/>
    <w:rsid w:val="00404104"/>
    <w:rsid w:val="00441FFE"/>
    <w:rsid w:val="00443C7E"/>
    <w:rsid w:val="00465498"/>
    <w:rsid w:val="00483480"/>
    <w:rsid w:val="004963C1"/>
    <w:rsid w:val="004B4DE0"/>
    <w:rsid w:val="004E462A"/>
    <w:rsid w:val="00507ADE"/>
    <w:rsid w:val="005152AB"/>
    <w:rsid w:val="005262B7"/>
    <w:rsid w:val="005B5C67"/>
    <w:rsid w:val="005D121B"/>
    <w:rsid w:val="005E748F"/>
    <w:rsid w:val="005F2BEF"/>
    <w:rsid w:val="00620C15"/>
    <w:rsid w:val="00620D79"/>
    <w:rsid w:val="00642A28"/>
    <w:rsid w:val="00654C26"/>
    <w:rsid w:val="00681AAA"/>
    <w:rsid w:val="006C0302"/>
    <w:rsid w:val="006E1482"/>
    <w:rsid w:val="00713315"/>
    <w:rsid w:val="00727FDB"/>
    <w:rsid w:val="00731E6A"/>
    <w:rsid w:val="00733E82"/>
    <w:rsid w:val="00754DC8"/>
    <w:rsid w:val="0076415A"/>
    <w:rsid w:val="0076515F"/>
    <w:rsid w:val="0077027C"/>
    <w:rsid w:val="007857C1"/>
    <w:rsid w:val="00785F49"/>
    <w:rsid w:val="00797E6B"/>
    <w:rsid w:val="007D46FF"/>
    <w:rsid w:val="007F71E8"/>
    <w:rsid w:val="00800264"/>
    <w:rsid w:val="00825171"/>
    <w:rsid w:val="00895329"/>
    <w:rsid w:val="008E060F"/>
    <w:rsid w:val="008E0659"/>
    <w:rsid w:val="008F0E9F"/>
    <w:rsid w:val="00915840"/>
    <w:rsid w:val="009450B9"/>
    <w:rsid w:val="00985213"/>
    <w:rsid w:val="00A118BA"/>
    <w:rsid w:val="00A154C8"/>
    <w:rsid w:val="00A23C5D"/>
    <w:rsid w:val="00A36A75"/>
    <w:rsid w:val="00A40BDD"/>
    <w:rsid w:val="00A57853"/>
    <w:rsid w:val="00A6558B"/>
    <w:rsid w:val="00A70A2A"/>
    <w:rsid w:val="00A721B9"/>
    <w:rsid w:val="00A873F0"/>
    <w:rsid w:val="00AA6695"/>
    <w:rsid w:val="00AA6A02"/>
    <w:rsid w:val="00AC0CB2"/>
    <w:rsid w:val="00AC5072"/>
    <w:rsid w:val="00AF7315"/>
    <w:rsid w:val="00B17FC4"/>
    <w:rsid w:val="00B624E0"/>
    <w:rsid w:val="00B90F5E"/>
    <w:rsid w:val="00BC6DF5"/>
    <w:rsid w:val="00BF467F"/>
    <w:rsid w:val="00C01FC7"/>
    <w:rsid w:val="00C06036"/>
    <w:rsid w:val="00C13F7B"/>
    <w:rsid w:val="00C1669D"/>
    <w:rsid w:val="00C3719C"/>
    <w:rsid w:val="00C43A2B"/>
    <w:rsid w:val="00C7071C"/>
    <w:rsid w:val="00C83C0F"/>
    <w:rsid w:val="00C84D08"/>
    <w:rsid w:val="00CA72EA"/>
    <w:rsid w:val="00CE7ECB"/>
    <w:rsid w:val="00D30E52"/>
    <w:rsid w:val="00D34AFB"/>
    <w:rsid w:val="00D46424"/>
    <w:rsid w:val="00D90313"/>
    <w:rsid w:val="00D95D79"/>
    <w:rsid w:val="00D96618"/>
    <w:rsid w:val="00DB115C"/>
    <w:rsid w:val="00DB63FC"/>
    <w:rsid w:val="00DE4B2D"/>
    <w:rsid w:val="00DF0AB3"/>
    <w:rsid w:val="00DF3C8A"/>
    <w:rsid w:val="00E42D71"/>
    <w:rsid w:val="00E56C6D"/>
    <w:rsid w:val="00E668E9"/>
    <w:rsid w:val="00E81553"/>
    <w:rsid w:val="00E926B4"/>
    <w:rsid w:val="00E9433D"/>
    <w:rsid w:val="00EA1478"/>
    <w:rsid w:val="00ED3A2B"/>
    <w:rsid w:val="00EE0665"/>
    <w:rsid w:val="00EE0F73"/>
    <w:rsid w:val="00F00324"/>
    <w:rsid w:val="00F00DF1"/>
    <w:rsid w:val="00F04514"/>
    <w:rsid w:val="00F21A6D"/>
    <w:rsid w:val="00F42666"/>
    <w:rsid w:val="00F73392"/>
    <w:rsid w:val="00FE0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BBB7"/>
  <w15:chartTrackingRefBased/>
  <w15:docId w15:val="{AAA4324B-A76D-4920-BAF6-9F1462DC7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8E9"/>
    <w:pPr>
      <w:widowControl w:val="0"/>
      <w:spacing w:after="0" w:line="360" w:lineRule="auto"/>
      <w:contextualSpacing/>
      <w:jc w:val="both"/>
    </w:pPr>
    <w:rPr>
      <w:rFonts w:ascii="Times New Roman" w:eastAsia="SimSun" w:hAnsi="Times New Roman" w:cs="Times New Roman"/>
      <w:kern w:val="2"/>
      <w:sz w:val="24"/>
      <w:szCs w:val="20"/>
      <w:lang w:eastAsia="zh-CN"/>
    </w:rPr>
  </w:style>
  <w:style w:type="paragraph" w:styleId="Heading1">
    <w:name w:val="heading 1"/>
    <w:basedOn w:val="Normal"/>
    <w:next w:val="Normal"/>
    <w:link w:val="Heading1Char"/>
    <w:uiPriority w:val="9"/>
    <w:qFormat/>
    <w:rsid w:val="00D95D79"/>
    <w:pPr>
      <w:keepNext/>
      <w:keepLines/>
      <w:spacing w:before="240"/>
      <w:ind w:left="360" w:hanging="360"/>
      <w:contextualSpacing w:val="0"/>
      <w:jc w:val="left"/>
      <w:outlineLvl w:val="0"/>
    </w:pPr>
    <w:rPr>
      <w:rFonts w:eastAsiaTheme="majorEastAsia" w:cstheme="majorBidi"/>
      <w:b/>
      <w:szCs w:val="32"/>
    </w:rPr>
  </w:style>
  <w:style w:type="paragraph" w:styleId="Heading2">
    <w:name w:val="heading 2"/>
    <w:basedOn w:val="Normal"/>
    <w:next w:val="Normal"/>
    <w:link w:val="Heading2Char"/>
    <w:autoRedefine/>
    <w:uiPriority w:val="9"/>
    <w:qFormat/>
    <w:rsid w:val="00D95D79"/>
    <w:pPr>
      <w:keepNext/>
      <w:spacing w:before="100" w:beforeAutospacing="1"/>
      <w:contextualSpacing w:val="0"/>
      <w:jc w:val="left"/>
      <w:outlineLvl w:val="1"/>
    </w:pPr>
    <w:rPr>
      <w:rFonts w:eastAsiaTheme="majorEastAsia" w:cstheme="minorBidi"/>
      <w:b/>
      <w:szCs w:val="26"/>
    </w:rPr>
  </w:style>
  <w:style w:type="paragraph" w:styleId="Heading3">
    <w:name w:val="heading 3"/>
    <w:basedOn w:val="Normal"/>
    <w:next w:val="Normal"/>
    <w:link w:val="Heading3Char"/>
    <w:autoRedefine/>
    <w:uiPriority w:val="9"/>
    <w:qFormat/>
    <w:rsid w:val="003D25B6"/>
    <w:pPr>
      <w:keepNext/>
      <w:keepLines/>
      <w:numPr>
        <w:ilvl w:val="2"/>
        <w:numId w:val="6"/>
      </w:numPr>
      <w:outlineLvl w:val="2"/>
    </w:pPr>
    <w:rPr>
      <w:rFonts w:eastAsia="Times New Roman" w:cstheme="minorBidi"/>
      <w:b/>
      <w:color w:val="000000"/>
      <w:szCs w:val="24"/>
    </w:rPr>
  </w:style>
  <w:style w:type="paragraph" w:styleId="Heading4">
    <w:name w:val="heading 4"/>
    <w:basedOn w:val="Normal"/>
    <w:next w:val="Normal"/>
    <w:link w:val="Heading4Char"/>
    <w:autoRedefine/>
    <w:uiPriority w:val="9"/>
    <w:unhideWhenUsed/>
    <w:qFormat/>
    <w:rsid w:val="003D25B6"/>
    <w:pPr>
      <w:keepNext/>
      <w:numPr>
        <w:ilvl w:val="3"/>
        <w:numId w:val="6"/>
      </w:numPr>
      <w:spacing w:before="240" w:after="60"/>
      <w:outlineLvl w:val="3"/>
    </w:pPr>
    <w:rPr>
      <w:rFonts w:eastAsia="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qFormat/>
    <w:rsid w:val="00D95D79"/>
    <w:pPr>
      <w:spacing w:before="100" w:beforeAutospacing="1"/>
      <w:jc w:val="left"/>
    </w:pPr>
    <w:rPr>
      <w:b/>
      <w:bCs/>
      <w:szCs w:val="18"/>
    </w:rPr>
  </w:style>
  <w:style w:type="character" w:customStyle="1" w:styleId="Heading2Char">
    <w:name w:val="Heading 2 Char"/>
    <w:link w:val="Heading2"/>
    <w:uiPriority w:val="9"/>
    <w:rsid w:val="00D95D79"/>
    <w:rPr>
      <w:rFonts w:ascii="Times New Roman" w:eastAsiaTheme="majorEastAsia" w:hAnsi="Times New Roman"/>
      <w:b/>
      <w:kern w:val="2"/>
      <w:sz w:val="24"/>
      <w:szCs w:val="26"/>
      <w:lang w:eastAsia="zh-CN"/>
    </w:rPr>
  </w:style>
  <w:style w:type="character" w:customStyle="1" w:styleId="Heading3Char">
    <w:name w:val="Heading 3 Char"/>
    <w:link w:val="Heading3"/>
    <w:uiPriority w:val="9"/>
    <w:rsid w:val="0014648E"/>
    <w:rPr>
      <w:rFonts w:ascii="Times New Roman" w:eastAsia="Times New Roman" w:hAnsi="Times New Roman"/>
      <w:b/>
      <w:color w:val="000000"/>
      <w:sz w:val="24"/>
      <w:szCs w:val="24"/>
    </w:rPr>
  </w:style>
  <w:style w:type="character" w:customStyle="1" w:styleId="Heading1Char">
    <w:name w:val="Heading 1 Char"/>
    <w:basedOn w:val="DefaultParagraphFont"/>
    <w:link w:val="Heading1"/>
    <w:uiPriority w:val="9"/>
    <w:rsid w:val="00D95D79"/>
    <w:rPr>
      <w:rFonts w:ascii="Times New Roman" w:eastAsiaTheme="majorEastAsia" w:hAnsi="Times New Roman" w:cstheme="majorBidi"/>
      <w:b/>
      <w:kern w:val="2"/>
      <w:sz w:val="24"/>
      <w:szCs w:val="32"/>
      <w:lang w:eastAsia="zh-CN"/>
    </w:rPr>
  </w:style>
  <w:style w:type="paragraph" w:styleId="TOCHeading">
    <w:name w:val="TOC Heading"/>
    <w:basedOn w:val="Heading1"/>
    <w:next w:val="Normal"/>
    <w:autoRedefine/>
    <w:uiPriority w:val="39"/>
    <w:unhideWhenUsed/>
    <w:qFormat/>
    <w:rsid w:val="003D25B6"/>
    <w:pPr>
      <w:outlineLvl w:val="9"/>
    </w:pPr>
  </w:style>
  <w:style w:type="paragraph" w:customStyle="1" w:styleId="StyleTOCHeadingTimesNewRoman">
    <w:name w:val="Style TOC Heading + Times New Roman"/>
    <w:basedOn w:val="TOCHeading"/>
    <w:autoRedefine/>
    <w:rsid w:val="000353AA"/>
    <w:pPr>
      <w:spacing w:line="256" w:lineRule="auto"/>
    </w:pPr>
    <w:rPr>
      <w:rFonts w:cs="Times New Roman"/>
      <w:b w:val="0"/>
    </w:rPr>
  </w:style>
  <w:style w:type="character" w:customStyle="1" w:styleId="Heading4Char">
    <w:name w:val="Heading 4 Char"/>
    <w:basedOn w:val="DefaultParagraphFont"/>
    <w:link w:val="Heading4"/>
    <w:uiPriority w:val="9"/>
    <w:rsid w:val="00264C17"/>
    <w:rPr>
      <w:rFonts w:ascii="Times New Roman" w:eastAsia="Times New Roman" w:hAnsi="Times New Roman" w:cs="Times New Roman"/>
      <w:b/>
      <w:bCs/>
      <w:kern w:val="2"/>
      <w:sz w:val="24"/>
      <w:szCs w:val="28"/>
      <w:lang w:eastAsia="zh-CN"/>
    </w:rPr>
  </w:style>
  <w:style w:type="paragraph" w:styleId="TableofFigures">
    <w:name w:val="table of figures"/>
    <w:basedOn w:val="Normal"/>
    <w:next w:val="Normal"/>
    <w:autoRedefine/>
    <w:uiPriority w:val="99"/>
    <w:rsid w:val="0014648E"/>
    <w:pPr>
      <w:spacing w:line="259" w:lineRule="auto"/>
      <w:contextualSpacing w:val="0"/>
    </w:pPr>
    <w:rPr>
      <w:iCs/>
    </w:rPr>
  </w:style>
  <w:style w:type="paragraph" w:styleId="TOC1">
    <w:name w:val="toc 1"/>
    <w:basedOn w:val="Normal"/>
    <w:next w:val="Normal"/>
    <w:autoRedefine/>
    <w:uiPriority w:val="39"/>
    <w:unhideWhenUsed/>
    <w:rsid w:val="003D25B6"/>
    <w:pPr>
      <w:spacing w:after="100"/>
      <w:jc w:val="center"/>
    </w:pPr>
    <w:rPr>
      <w:b/>
    </w:rPr>
  </w:style>
  <w:style w:type="paragraph" w:customStyle="1" w:styleId="APALevel1">
    <w:name w:val="APA Level 1"/>
    <w:next w:val="BodyText"/>
    <w:autoRedefine/>
    <w:rsid w:val="0077027C"/>
    <w:pPr>
      <w:keepNext/>
      <w:keepLines/>
      <w:tabs>
        <w:tab w:val="right" w:leader="dot" w:pos="8640"/>
      </w:tabs>
      <w:suppressAutoHyphens/>
      <w:autoSpaceDE w:val="0"/>
      <w:autoSpaceDN w:val="0"/>
      <w:spacing w:before="240" w:after="0" w:line="480" w:lineRule="auto"/>
      <w:jc w:val="both"/>
      <w:outlineLvl w:val="0"/>
    </w:pPr>
    <w:rPr>
      <w:rFonts w:ascii="Times New Roman" w:eastAsia="Times New Roman" w:hAnsi="Times New Roman" w:cs="Times New Roman"/>
      <w:b/>
      <w:sz w:val="24"/>
      <w:szCs w:val="24"/>
    </w:rPr>
  </w:style>
  <w:style w:type="paragraph" w:styleId="BodyText">
    <w:name w:val="Body Text"/>
    <w:basedOn w:val="Normal"/>
    <w:link w:val="BodyTextChar"/>
    <w:uiPriority w:val="99"/>
    <w:unhideWhenUsed/>
    <w:rsid w:val="00D30E52"/>
    <w:pPr>
      <w:spacing w:after="120"/>
    </w:pPr>
  </w:style>
  <w:style w:type="character" w:customStyle="1" w:styleId="BodyTextChar">
    <w:name w:val="Body Text Char"/>
    <w:basedOn w:val="DefaultParagraphFont"/>
    <w:link w:val="BodyText"/>
    <w:uiPriority w:val="99"/>
    <w:rsid w:val="00D30E52"/>
    <w:rPr>
      <w:rFonts w:ascii="Times New Roman" w:eastAsia="SimSun" w:hAnsi="Times New Roman" w:cs="Times New Roman"/>
      <w:kern w:val="2"/>
      <w:sz w:val="24"/>
      <w:szCs w:val="20"/>
      <w:lang w:eastAsia="zh-CN"/>
    </w:rPr>
  </w:style>
  <w:style w:type="paragraph" w:styleId="Header">
    <w:name w:val="header"/>
    <w:basedOn w:val="Normal"/>
    <w:link w:val="HeaderChar"/>
    <w:uiPriority w:val="99"/>
    <w:unhideWhenUsed/>
    <w:rsid w:val="006E1482"/>
    <w:pPr>
      <w:tabs>
        <w:tab w:val="center" w:pos="4680"/>
        <w:tab w:val="right" w:pos="9360"/>
      </w:tabs>
      <w:spacing w:line="240" w:lineRule="auto"/>
    </w:pPr>
  </w:style>
  <w:style w:type="character" w:customStyle="1" w:styleId="HeaderChar">
    <w:name w:val="Header Char"/>
    <w:basedOn w:val="DefaultParagraphFont"/>
    <w:link w:val="Header"/>
    <w:uiPriority w:val="99"/>
    <w:rsid w:val="006E1482"/>
    <w:rPr>
      <w:rFonts w:ascii="Times New Roman" w:eastAsia="SimSun" w:hAnsi="Times New Roman" w:cs="Times New Roman"/>
      <w:kern w:val="2"/>
      <w:sz w:val="24"/>
      <w:szCs w:val="20"/>
      <w:lang w:eastAsia="zh-CN"/>
    </w:rPr>
  </w:style>
  <w:style w:type="paragraph" w:styleId="Footer">
    <w:name w:val="footer"/>
    <w:basedOn w:val="Normal"/>
    <w:link w:val="FooterChar"/>
    <w:uiPriority w:val="99"/>
    <w:unhideWhenUsed/>
    <w:rsid w:val="006E1482"/>
    <w:pPr>
      <w:tabs>
        <w:tab w:val="center" w:pos="4680"/>
        <w:tab w:val="right" w:pos="9360"/>
      </w:tabs>
      <w:spacing w:line="240" w:lineRule="auto"/>
    </w:pPr>
  </w:style>
  <w:style w:type="character" w:customStyle="1" w:styleId="FooterChar">
    <w:name w:val="Footer Char"/>
    <w:basedOn w:val="DefaultParagraphFont"/>
    <w:link w:val="Footer"/>
    <w:uiPriority w:val="99"/>
    <w:rsid w:val="006E1482"/>
    <w:rPr>
      <w:rFonts w:ascii="Times New Roman" w:eastAsia="SimSun" w:hAnsi="Times New Roman" w:cs="Times New Roman"/>
      <w:kern w:val="2"/>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4/relationships/chartEx" Target="charts/chartEx1.xm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charts/_rels/chartEx1.xml.rels><?xml version="1.0" encoding="UTF-8" standalone="yes"?>
<Relationships xmlns="http://schemas.openxmlformats.org/package/2006/relationships"><Relationship Id="rId3" Type="http://schemas.microsoft.com/office/2011/relationships/chartStyle" Target="chart/style1.xml"/><Relationship Id="rId2" Type="http://schemas.microsoft.com/office/2011/relationships/chartColorStyle" Target="chart/colors1.xml"/><Relationship Id="rId1" Type="http://schemas.openxmlformats.org/officeDocument/2006/relationships/oleObject" Target="file:///D:\Assignments_\Ass%206\Signature_Assignment_Databases.xlsx" TargetMode="External"/></Relationships>
</file>

<file path=word/charts/chart/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hart/style1.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bodyPr rot="-60000000" vert="horz"/>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tx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dropLine>
  <cs:errorBar>
    <cs:lnRef idx="0"/>
    <cs:fillRef idx="0"/>
    <cs:effectRef idx="0"/>
    <cs:fontRef idx="minor">
      <a:schemeClr val="tx1"/>
    </cs:fontRef>
  </cs:errorBar>
  <cs:floor>
    <cs:lnRef idx="0"/>
    <cs:fillRef idx="0"/>
    <cs:effectRef idx="0"/>
    <cs:fontRef idx="minor">
      <a:schemeClr val="tx1"/>
    </cs:fontRef>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a:solidFill>
          <a:schemeClr val="tx1">
            <a:lumMod val="15000"/>
            <a:lumOff val="85000"/>
            <a:lumOff val="10000"/>
          </a:schemeClr>
        </a:solidFill>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a:solidFill>
          <a:schemeClr val="tx1">
            <a:lumMod val="15000"/>
            <a:lumOff val="85000"/>
          </a:schemeClr>
        </a:solidFill>
        <a:round/>
      </a:ln>
    </cs:spPr>
    <cs:defRPr sz="900"/>
    <cs:bodyPr rot="-60000000" vert="horz"/>
  </cs:seriesAxis>
  <cs:seriesLine>
    <cs:lnRef idx="0"/>
    <cs:fillRef idx="0"/>
    <cs:effectRef idx="0"/>
    <cs:fontRef idx="minor">
      <a:schemeClr val="tx1"/>
    </cs:fontRef>
    <cs:spPr>
      <a:ln w="9525">
        <a:solidFill>
          <a:srgbClr val="D9D9D9"/>
        </a:solidFill>
        <a:round/>
      </a:ln>
    </cs:spPr>
  </cs:seriesLine>
  <cs:title>
    <cs:lnRef idx="0"/>
    <cs:fillRef idx="0"/>
    <cs:effectRef idx="0"/>
    <cs:fontRef idx="minor">
      <a:schemeClr val="tx1">
        <a:lumMod val="65000"/>
        <a:lumOff val="35000"/>
      </a:schemeClr>
    </cs:fontRef>
    <cs:defRPr sz="1400" b="0" kern="1200" spc="0" baseline="0"/>
    <cs:bodyPr rot="0" vert="horz"/>
  </cs:title>
  <cs:trendline>
    <cs:lnRef idx="0"/>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bodyPr rot="-60000000" vert="horz"/>
  </cs:valueAxis>
  <cs:wall>
    <cs:lnRef idx="0"/>
    <cs:fillRef idx="0"/>
    <cs:effectRef idx="0"/>
    <cs:fontRef idx="minor">
      <a:schemeClr val="tx1"/>
    </cs:fontRef>
  </cs:wall>
</cs:chartStyle>
</file>

<file path=word/charts/chartEx1.xml><?xml version="1.0" encoding="utf-8"?>
<cx:chartSpace xmlns:cx="http://schemas.microsoft.com/office/drawing/2014/chartex" xmlns:a="http://schemas.openxmlformats.org/drawingml/2006/main" xmlns:r="http://schemas.openxmlformats.org/officeDocument/2006/relationships">
  <cx:chartData>
    <cx:externalData r:id="rId1" cx:autoUpdate="0"/>
    <cx:data id="0">
      <cx:numDim type="val">
        <cx:f>'[Signature_Assignment_Databases.xlsx]Option 3 - Consumer Food'!$A$2:$A$201</cx:f>
        <cx:lvl ptCount="200" formatCode="0">
          <cx:pt idx="0">8909</cx:pt>
          <cx:pt idx="1">5684</cx:pt>
          <cx:pt idx="2">10706</cx:pt>
          <cx:pt idx="3">14112</cx:pt>
          <cx:pt idx="4">13855</cx:pt>
          <cx:pt idx="5">15619</cx:pt>
          <cx:pt idx="6">2694</cx:pt>
          <cx:pt idx="7">9127</cx:pt>
          <cx:pt idx="8">13514</cx:pt>
          <cx:pt idx="9">6314</cx:pt>
          <cx:pt idx="10">7622</cx:pt>
          <cx:pt idx="11">4322</cx:pt>
          <cx:pt idx="12">3805</cx:pt>
          <cx:pt idx="13">6674</cx:pt>
          <cx:pt idx="14">7347</cx:pt>
          <cx:pt idx="15">2911</cx:pt>
          <cx:pt idx="16">8026</cx:pt>
          <cx:pt idx="17">8567</cx:pt>
          <cx:pt idx="18">10345</cx:pt>
          <cx:pt idx="19">8694</cx:pt>
          <cx:pt idx="20">8821</cx:pt>
          <cx:pt idx="21">8678</cx:pt>
          <cx:pt idx="22">14331</cx:pt>
          <cx:pt idx="23">9619</cx:pt>
          <cx:pt idx="24">9286</cx:pt>
          <cx:pt idx="25">8206</cx:pt>
          <cx:pt idx="26">16408</cx:pt>
          <cx:pt idx="27">12757</cx:pt>
          <cx:pt idx="28">17740</cx:pt>
          <cx:pt idx="29">7739</cx:pt>
          <cx:pt idx="30">15383</cx:pt>
          <cx:pt idx="31">4579</cx:pt>
          <cx:pt idx="32">11679</cx:pt>
          <cx:pt idx="33">12877</cx:pt>
          <cx:pt idx="34">16232</cx:pt>
          <cx:pt idx="35">9621</cx:pt>
          <cx:pt idx="36">8171</cx:pt>
          <cx:pt idx="37">12128</cx:pt>
          <cx:pt idx="38">8642</cx:pt>
          <cx:pt idx="39">12400</cx:pt>
          <cx:pt idx="40">9185</cx:pt>
          <cx:pt idx="41">7862</cx:pt>
          <cx:pt idx="42">9775</cx:pt>
          <cx:pt idx="43">6771</cx:pt>
          <cx:pt idx="44">3059</cx:pt>
          <cx:pt idx="45">13211</cx:pt>
          <cx:pt idx="46">7408</cx:pt>
          <cx:pt idx="47">11581</cx:pt>
          <cx:pt idx="48">14233</cx:pt>
          <cx:pt idx="49">3352</cx:pt>
          <cx:pt idx="50">2630</cx:pt>
          <cx:pt idx="51">9093</cx:pt>
          <cx:pt idx="52">12652</cx:pt>
          <cx:pt idx="53">9559</cx:pt>
          <cx:pt idx="54">6112</cx:pt>
          <cx:pt idx="55">10431</cx:pt>
          <cx:pt idx="56">12630</cx:pt>
          <cx:pt idx="57">4578</cx:pt>
          <cx:pt idx="58">9551</cx:pt>
          <cx:pt idx="59">10262</cx:pt>
          <cx:pt idx="60">9551</cx:pt>
          <cx:pt idx="61">10143</cx:pt>
          <cx:pt idx="62">8955</cx:pt>
          <cx:pt idx="63">10197</cx:pt>
          <cx:pt idx="64">11234</cx:pt>
          <cx:pt idx="65">9320</cx:pt>
          <cx:pt idx="66">9089</cx:pt>
          <cx:pt idx="67">12300</cx:pt>
          <cx:pt idx="68">11484</cx:pt>
          <cx:pt idx="69">11215</cx:pt>
          <cx:pt idx="70">7204</cx:pt>
          <cx:pt idx="71">5579</cx:pt>
          <cx:pt idx="72">11723</cx:pt>
          <cx:pt idx="73">9353</cx:pt>
          <cx:pt idx="74">7761</cx:pt>
          <cx:pt idx="75">4261</cx:pt>
          <cx:pt idx="76">9830</cx:pt>
          <cx:pt idx="77">12386</cx:pt>
          <cx:pt idx="78">8673</cx:pt>
          <cx:pt idx="79">10944</cx:pt>
          <cx:pt idx="80">9910</cx:pt>
          <cx:pt idx="81">9928</cx:pt>
          <cx:pt idx="82">4264</cx:pt>
          <cx:pt idx="83">7971</cx:pt>
          <cx:pt idx="84">8290</cx:pt>
          <cx:pt idx="85">12669</cx:pt>
          <cx:pt idx="86">7272</cx:pt>
          <cx:pt idx="87">9784</cx:pt>
          <cx:pt idx="88">9187</cx:pt>
          <cx:pt idx="89">5866</cx:pt>
          <cx:pt idx="90">9456</cx:pt>
          <cx:pt idx="91">6270</cx:pt>
          <cx:pt idx="92">9518</cx:pt>
          <cx:pt idx="93">10968</cx:pt>
          <cx:pt idx="94">8865</cx:pt>
          <cx:pt idx="95">9226</cx:pt>
          <cx:pt idx="96">4913</cx:pt>
          <cx:pt idx="97">6976</cx:pt>
          <cx:pt idx="98">8152</cx:pt>
          <cx:pt idx="99">2887</cx:pt>
          <cx:pt idx="100">8062</cx:pt>
          <cx:pt idx="101">8895</cx:pt>
          <cx:pt idx="102">8444</cx:pt>
          <cx:pt idx="103">6148</cx:pt>
          <cx:pt idx="104">4563</cx:pt>
          <cx:pt idx="105">8185</cx:pt>
          <cx:pt idx="106">3391</cx:pt>
          <cx:pt idx="107">7436</cx:pt>
          <cx:pt idx="108">9522</cx:pt>
          <cx:pt idx="109">11290</cx:pt>
          <cx:pt idx="110">10403</cx:pt>
          <cx:pt idx="111">4693</cx:pt>
          <cx:pt idx="112">5626</cx:pt>
          <cx:pt idx="113">11869</cx:pt>
          <cx:pt idx="114">13055</cx:pt>
          <cx:pt idx="115">8783</cx:pt>
          <cx:pt idx="116">13031</cx:pt>
          <cx:pt idx="117">3681</cx:pt>
          <cx:pt idx="118">5549</cx:pt>
          <cx:pt idx="119">4108</cx:pt>
          <cx:pt idx="120">6314</cx:pt>
          <cx:pt idx="121">7700</cx:pt>
          <cx:pt idx="122">7479</cx:pt>
          <cx:pt idx="123">9093</cx:pt>
          <cx:pt idx="124">9863</cx:pt>
          <cx:pt idx="125">8043</cx:pt>
          <cx:pt idx="126">9552</cx:pt>
          <cx:pt idx="127">9286</cx:pt>
          <cx:pt idx="128">7987</cx:pt>
          <cx:pt idx="129">3875</cx:pt>
          <cx:pt idx="130">10746</cx:pt>
          <cx:pt idx="131">6888</cx:pt>
          <cx:pt idx="132">5479</cx:pt>
          <cx:pt idx="133">6949</cx:pt>
          <cx:pt idx="134">10650</cx:pt>
          <cx:pt idx="135">5188</cx:pt>
          <cx:pt idx="136">5311</cx:pt>
          <cx:pt idx="137">4691</cx:pt>
          <cx:pt idx="138">8056</cx:pt>
          <cx:pt idx="139">11304</cx:pt>
          <cx:pt idx="140">8112</cx:pt>
          <cx:pt idx="141">8696</cx:pt>
          <cx:pt idx="142">5869</cx:pt>
          <cx:pt idx="143">3776</cx:pt>
          <cx:pt idx="144">11829</cx:pt>
          <cx:pt idx="145">13087</cx:pt>
          <cx:pt idx="146">10986</cx:pt>
          <cx:pt idx="147">5762</cx:pt>
          <cx:pt idx="148">11617</cx:pt>
          <cx:pt idx="149">9895</cx:pt>
          <cx:pt idx="150">16293</cx:pt>
          <cx:pt idx="151">8185</cx:pt>
          <cx:pt idx="152">13972</cx:pt>
          <cx:pt idx="153">11243</cx:pt>
          <cx:pt idx="154">4635</cx:pt>
          <cx:pt idx="155">10063</cx:pt>
          <cx:pt idx="156">8426</cx:pt>
          <cx:pt idx="157">7436</cx:pt>
          <cx:pt idx="158">11747</cx:pt>
          <cx:pt idx="159">15397</cx:pt>
          <cx:pt idx="160">6842</cx:pt>
          <cx:pt idx="161">9678</cx:pt>
          <cx:pt idx="162">12852</cx:pt>
          <cx:pt idx="163">10114</cx:pt>
          <cx:pt idx="164">8496</cx:pt>
          <cx:pt idx="165">6689</cx:pt>
          <cx:pt idx="166">15696</cx:pt>
          <cx:pt idx="167">9841</cx:pt>
          <cx:pt idx="168">12529</cx:pt>
          <cx:pt idx="169">10210</cx:pt>
          <cx:pt idx="170">8868</cx:pt>
          <cx:pt idx="171">6426</cx:pt>
          <cx:pt idx="172">11096</cx:pt>
          <cx:pt idx="173">10086</cx:pt>
          <cx:pt idx="174">2587</cx:pt>
          <cx:pt idx="175">12492</cx:pt>
          <cx:pt idx="176">8456</cx:pt>
          <cx:pt idx="177">6801</cx:pt>
          <cx:pt idx="178">6339</cx:pt>
          <cx:pt idx="179">7802</cx:pt>
          <cx:pt idx="180">9717</cx:pt>
          <cx:pt idx="181">6026</cx:pt>
          <cx:pt idx="182">5618</cx:pt>
          <cx:pt idx="183">10217</cx:pt>
          <cx:pt idx="184">8338</cx:pt>
          <cx:pt idx="185">9048</cx:pt>
          <cx:pt idx="186">4017</cx:pt>
          <cx:pt idx="187">10906</cx:pt>
          <cx:pt idx="188">15148</cx:pt>
          <cx:pt idx="189">8830</cx:pt>
          <cx:pt idx="190">8481</cx:pt>
          <cx:pt idx="191">11358</cx:pt>
          <cx:pt idx="192">10553</cx:pt>
          <cx:pt idx="193">6969</cx:pt>
          <cx:pt idx="194">13219</cx:pt>
          <cx:pt idx="195">3543</cx:pt>
          <cx:pt idx="196">7326</cx:pt>
          <cx:pt idx="197">8458</cx:pt>
          <cx:pt idx="198">11766</cx:pt>
          <cx:pt idx="199">9908</cx:pt>
        </cx:lvl>
      </cx:numDim>
    </cx:data>
    <cx:data id="1">
      <cx:numDim type="val">
        <cx:f>'[Signature_Assignment_Databases.xlsx]Option 3 - Consumer Food'!$B$2:$B$201</cx:f>
        <cx:lvl ptCount="200" formatCode="0">
          <cx:pt idx="0">56697.4462495273</cx:pt>
          <cx:pt idx="1">35945.485150296</cx:pt>
          <cx:pt idx="2">52686.830384846</cx:pt>
          <cx:pt idx="3">74041.208942217</cx:pt>
          <cx:pt idx="4">63181.8524096161</cx:pt>
          <cx:pt idx="5">79064.4641406834</cx:pt>
          <cx:pt idx="6">25980.5359644815</cx:pt>
          <cx:pt idx="7">57424.0063238539</cx:pt>
          <cx:pt idx="8">72045.2477858634</cx:pt>
          <cx:pt idx="9">38046.29285587</cx:pt>
          <cx:pt idx="10">52407.7542345912</cx:pt>
          <cx:pt idx="11">41405.2443980472</cx:pt>
          <cx:pt idx="12">29683.9802002069</cx:pt>
          <cx:pt idx="13">49246.0755290812</cx:pt>
          <cx:pt idx="14">41491.4224063978</cx:pt>
          <cx:pt idx="15">26702.7566122124</cx:pt>
          <cx:pt idx="16">48752.826412674</cx:pt>
          <cx:pt idx="17">55555.4767439025</cx:pt>
          <cx:pt idx="18">71483.3835848548</cx:pt>
          <cx:pt idx="19">50979.5775339444</cx:pt>
          <cx:pt idx="20">46403.1030685874</cx:pt>
          <cx:pt idx="21">51927.3543481686</cx:pt>
          <cx:pt idx="22">84769.0570884151</cx:pt>
          <cx:pt idx="23">59061.8709944101</cx:pt>
          <cx:pt idx="24">57952.2658577479</cx:pt>
          <cx:pt idx="25">58354.7186376235</cx:pt>
          <cx:pt idx="26">81694.331735489</cx:pt>
          <cx:pt idx="27">69522.4027063522</cx:pt>
          <cx:pt idx="28">96132.2020378429</cx:pt>
          <cx:pt idx="29">57796.0266177251</cx:pt>
          <cx:pt idx="30">88276.0140887694</cx:pt>
          <cx:pt idx="31">32263.6254975805</cx:pt>
          <cx:pt idx="32">65928.4320741426</cx:pt>
          <cx:pt idx="33">69924.1060524946</cx:pt>
          <cx:pt idx="34">91108.0714507261</cx:pt>
          <cx:pt idx="35">54070.3122421109</cx:pt>
          <cx:pt idx="36">47238.2544304564</cx:pt>
          <cx:pt idx="37">77426.5221883251</cx:pt>
          <cx:pt idx="38">59805.4377202643</cx:pt>
          <cx:pt idx="39">60333.7249634496</cx:pt>
          <cx:pt idx="40">54113.9469936024</cx:pt>
          <cx:pt idx="41">40680.387327302</cx:pt>
          <cx:pt idx="42">58262.7190698985</cx:pt>
          <cx:pt idx="43">52008.3528094401</cx:pt>
          <cx:pt idx="44">39642.7288806444</cx:pt>
          <cx:pt idx="45">70309.2873157584</cx:pt>
          <cx:pt idx="46">46450.123944669</cx:pt>
          <cx:pt idx="47">76139.517336152</cx:pt>
          <cx:pt idx="48">80832.6901984401</cx:pt>
          <cx:pt idx="49">31898.7532510072</cx:pt>
          <cx:pt idx="50">21646.6118115932</cx:pt>
          <cx:pt idx="51">65924.3700181833</cx:pt>
          <cx:pt idx="52">65922.5999898626</cx:pt>
          <cx:pt idx="53">62810.6205970835</cx:pt>
          <cx:pt idx="54">42334.850463143</cx:pt>
          <cx:pt idx="55">65133.8292905711</cx:pt>
          <cx:pt idx="56">64620.6963462464</cx:pt>
          <cx:pt idx="57">36553.1594373169</cx:pt>
          <cx:pt idx="58">62909.650265763</cx:pt>
          <cx:pt idx="59">70726.8760428705</cx:pt>
          <cx:pt idx="60">57633.9392762748</cx:pt>
          <cx:pt idx="61">56549.0006666805</cx:pt>
          <cx:pt idx="62">59661.7850936308</cx:pt>
          <cx:pt idx="63">57349.5732774608</cx:pt>
          <cx:pt idx="64">56446.892383683</cx:pt>
          <cx:pt idx="65">61135.7741287793</cx:pt>
          <cx:pt idx="66">51525.8649455063</cx:pt>
          <cx:pt idx="67">79979.426118225</cx:pt>
          <cx:pt idx="68">66733.3050639136</cx:pt>
          <cx:pt idx="69">75359.1793403029</cx:pt>
          <cx:pt idx="70">40794.6277946757</cx:pt>
          <cx:pt idx="71">39128.2527137082</cx:pt>
          <cx:pt idx="72">75482.0848062227</cx:pt>
          <cx:pt idx="73">63998.1538571155</cx:pt>
          <cx:pt idx="74">45844.891388202</cx:pt>
          <cx:pt idx="75">38223.0767374276</cx:pt>
          <cx:pt idx="76">66787.0337766362</cx:pt>
          <cx:pt idx="77">77852.1868039388</cx:pt>
          <cx:pt idx="78">55824.5739132398</cx:pt>
          <cx:pt idx="79">57022.4677983787</cx:pt>
          <cx:pt idx="80">64262.5719693024</cx:pt>
          <cx:pt idx="81">75881.3008965808</cx:pt>
          <cx:pt idx="82">34342.9429044772</cx:pt>
          <cx:pt idx="83">41242.5641671143</cx:pt>
          <cx:pt idx="84">53021.4595274883</cx:pt>
          <cx:pt idx="85">66990.7157517736</cx:pt>
          <cx:pt idx="86">49719.3378931115</cx:pt>
          <cx:pt idx="87">58398.5742599179</cx:pt>
          <cx:pt idx="88">50477.1323397289</cx:pt>
          <cx:pt idx="89">39111.6453404538</cx:pt>
          <cx:pt idx="90">51886.4694690564</cx:pt>
          <cx:pt idx="91">34796.9676820212</cx:pt>
          <cx:pt idx="92">62348.2050437451</cx:pt>
          <cx:pt idx="93">78703.7597545713</cx:pt>
          <cx:pt idx="94">53620.1470013475</cx:pt>
          <cx:pt idx="95">51576.6551213164</cx:pt>
          <cx:pt idx="96">34760.8605553833</cx:pt>
          <cx:pt idx="97">60967.5898379646</cx:pt>
          <cx:pt idx="98">51281.0799186408</cx:pt>
          <cx:pt idx="99">25013.023408319</cx:pt>
          <cx:pt idx="100">59238.2544304564</cx:pt>
          <cx:pt idx="101">47343.7233772419</cx:pt>
          <cx:pt idx="102">52645.2813623764</cx:pt>
          <cx:pt idx="103">35308.6542114324</cx:pt>
          <cx:pt idx="104">34354.7731568105</cx:pt>
          <cx:pt idx="105">50629.7000759514</cx:pt>
          <cx:pt idx="106">29056.2888393178</cx:pt>
          <cx:pt idx="107">48721.0071594745</cx:pt>
          <cx:pt idx="108">50459.1538527166</cx:pt>
          <cx:pt idx="109">72805.4057818371</cx:pt>
          <cx:pt idx="110">56954.4659355306</cx:pt>
          <cx:pt idx="111">39342.5228442356</cx:pt>
          <cx:pt idx="112">38833.4968495473</cx:pt>
          <cx:pt idx="113">55020.5790103063</cx:pt>
          <cx:pt idx="114">77605.0514508096</cx:pt>
          <cx:pt idx="115">57936.8635144783</cx:pt>
          <cx:pt idx="116">63343.0592338845</cx:pt>
          <cx:pt idx="117">36478.9514908625</cx:pt>
          <cx:pt idx="118">40381.1987375957</cx:pt>
          <cx:pt idx="119">26308.8737331418</cx:pt>
          <cx:pt idx="120">41421.0206447751</cx:pt>
          <cx:pt idx="121">54578.5508367116</cx:pt>
          <cx:pt idx="122">40551.4475257659</cx:pt>
          <cx:pt idx="123">50368.7132498744</cx:pt>
          <cx:pt idx="124">54422.0165919687</cx:pt>
          <cx:pt idx="125">51835.9298539871</cx:pt>
          <cx:pt idx="126">73599.9585432</cx:pt>
          <cx:pt idx="127">51873.0324781208</cx:pt>
          <cx:pt idx="128">48003.4903981431</cx:pt>
          <cx:pt idx="129">36519.19210919</cx:pt>
          <cx:pt idx="130">75151.5724205819</cx:pt>
          <cx:pt idx="131">44974.0788704366</cx:pt>
          <cx:pt idx="132">48922.5330511108</cx:pt>
          <cx:pt idx="133">43768.6334305908</cx:pt>
          <cx:pt idx="134">75947.4206308368</cx:pt>
          <cx:pt idx="135">41423.1309352035</cx:pt>
          <cx:pt idx="136">40189.0471493825</cx:pt>
          <cx:pt idx="137">36771.7643156065</cx:pt>
          <cx:pt idx="138">59689.9771051539</cx:pt>
          <cx:pt idx="139">53653.8059198064</cx:pt>
          <cx:pt idx="140">59066.5800093411</cx:pt>
          <cx:pt idx="141">65961.534270682</cx:pt>
          <cx:pt idx="142">37254.1809256654</cx:pt>
          <cx:pt idx="143">33568.0365473963</cx:pt>
          <cx:pt idx="144">56933.5361382109</cx:pt>
          <cx:pt idx="145">88822.2391544259</cx:pt>
          <cx:pt idx="146">59635.3724680957</cx:pt>
          <cx:pt idx="147">38406.7949046585</cx:pt>
          <cx:pt idx="148">78627.105216874</cx:pt>
          <cx:pt idx="149">47709.703489425</cx:pt>
          <cx:pt idx="150">64442.6974454836</cx:pt>
          <cx:pt idx="151">58870.9348750999</cx:pt>
          <cx:pt idx="152">87954.0814112988</cx:pt>
          <cx:pt idx="153">54778.1653595156</cx:pt>
          <cx:pt idx="154">39825.4251901817</cx:pt>
          <cx:pt idx="155">49536.0747864469</cx:pt>
          <cx:pt idx="156">60101.9651436945</cx:pt>
          <cx:pt idx="157">49138.5150931891</cx:pt>
          <cx:pt idx="158">51051.5873832628</cx:pt>
          <cx:pt idx="159">70500.4346803616</cx:pt>
          <cx:pt idx="160">54894.3627209519</cx:pt>
          <cx:pt idx="161">60570.24471974</cx:pt>
          <cx:pt idx="162">57625.3155738231</cx:pt>
          <cx:pt idx="163">56955.5583876348</cx:pt>
          <cx:pt idx="164">61399.9570658198</cx:pt>
          <cx:pt idx="165">50531.5670275886</cx:pt>
          <cx:pt idx="166">72774.1168903594</cx:pt>
          <cx:pt idx="167">69981.1313702957</cx:pt>
          <cx:pt idx="168">66891.0266185703</cx:pt>
          <cx:pt idx="169">67431.1251309118</cx:pt>
          <cx:pt idx="170">64781.7479753575</cx:pt>
          <cx:pt idx="171">38986.9978233473</cx:pt>
          <cx:pt idx="172">64866.783085354</cx:pt>
          <cx:pt idx="173">50421.1032369639</cx:pt>
          <cx:pt idx="174">27075.5359653267</cx:pt>
          <cx:pt idx="175">51784.2729296535</cx:pt>
          <cx:pt idx="176">54135.0664408383</cx:pt>
          <cx:pt idx="177">53291.111170256</cx:pt>
          <cx:pt idx="178">49804.3381310708</cx:pt>
          <cx:pt idx="179">52205.4916826164</cx:pt>
          <cx:pt idx="180">72840.5611374182</cx:pt>
          <cx:pt idx="181">46237.9092216725</cx:pt>
          <cx:pt idx="182">45938.1290055899</cx:pt>
          <cx:pt idx="183">77715.8961680834</cx:pt>
          <cx:pt idx="184">59710.9620532137</cx:pt>
          <cx:pt idx="185">42105.9850041638</cx:pt>
          <cx:pt idx="186">36461.8948171264</cx:pt>
          <cx:pt idx="187">53403.2814760576</cx:pt>
          <cx:pt idx="188">71290.4211163986</cx:pt>
          <cx:pt idx="189">66758.856786997</cx:pt>
          <cx:pt idx="190">57615.6288994389</cx:pt>
          <cx:pt idx="191">76220.6220516236</cx:pt>
          <cx:pt idx="192">78201.7641286802</cx:pt>
          <cx:pt idx="193">55163.6277728539</cx:pt>
          <cx:pt idx="194">61171.1552158521</cx:pt>
          <cx:pt idx="195">34092.7615070104</cx:pt>
          <cx:pt idx="196">50647.049773761</cx:pt>
          <cx:pt idx="197">59897.970347898</cx:pt>
          <cx:pt idx="198">52884.080458898</cx:pt>
          <cx:pt idx="199">73628.5040399234</cx:pt>
        </cx:lvl>
      </cx:numDim>
    </cx:data>
    <cx:data id="2">
      <cx:numDim type="val">
        <cx:f>'[Signature_Assignment_Databases.xlsx]Option 3 - Consumer Food'!$C$2:$C$201</cx:f>
        <cx:lvl ptCount="200" formatCode="0">
          <cx:pt idx="0">23179.8774302355</cx:pt>
          <cx:pt idx="1">7051.8760957988</cx:pt>
          <cx:pt idx="2">16148.8353705558</cx:pt>
          <cx:pt idx="3">21839.1571843007</cx:pt>
          <cx:pt idx="4">18865.9621607861</cx:pt>
          <cx:pt idx="5">21899.1156225151</cx:pt>
          <cx:pt idx="6">8773.50409151986</cx:pt>
          <cx:pt idx="7">15766.162038932</cx:pt>
          <cx:pt idx="8">27685.4301050538</cx:pt>
          <cx:pt idx="9">8544.8439055238</cx:pt>
          <cx:pt idx="10">28057.2019300656</cx:pt>
          <cx:pt idx="11">6997.67021157313</cx:pt>
          <cx:pt idx="12">4805.5230647209</cx:pt>
          <cx:pt idx="13">13591.6136145591</cx:pt>
          <cx:pt idx="14">4088.01476166118</cx:pt>
          <cx:pt idx="15">15876.0665408103</cx:pt>
          <cx:pt idx="16">16713.5861056217</cx:pt>
          <cx:pt idx="17">16783.2647684612</cx:pt>
          <cx:pt idx="18">21407.2495191125</cx:pt>
          <cx:pt idx="19">19113.8222043868</cx:pt>
          <cx:pt idx="20">7816.6860561817</cx:pt>
          <cx:pt idx="21">14414.5688343327</cx:pt>
          <cx:pt idx="22">17295.4694471322</cx:pt>
          <cx:pt idx="23">16686.9379108597</cx:pt>
          <cx:pt idx="24">14161.1005937797</cx:pt>
          <cx:pt idx="25">19538.044639345</cx:pt>
          <cx:pt idx="26">15186.9424052769</cx:pt>
          <cx:pt idx="27">14651.1249704112</cx:pt>
          <cx:pt idx="28">0</cx:pt>
          <cx:pt idx="29">22057.1289582644</cx:pt>
          <cx:pt idx="30">1895.85968197789</cx:pt>
          <cx:pt idx="31">7979.4708032626</cx:pt>
          <cx:pt idx="32">0</cx:pt>
          <cx:pt idx="33">27329.7425928526</cx:pt>
          <cx:pt idx="34">9875.76619533356</cx:pt>
          <cx:pt idx="35">19907.5234260875</cx:pt>
          <cx:pt idx="36">17818.8836480025</cx:pt>
          <cx:pt idx="37">31339.7956824396</cx:pt>
          <cx:pt idx="38">4962.58486688603</cx:pt>
          <cx:pt idx="39">6632.48535144376</cx:pt>
          <cx:pt idx="40">18592.8181644762</cx:pt>
          <cx:pt idx="41">15201.7409956955</cx:pt>
          <cx:pt idx="42">1485.63209674321</cx:pt>
          <cx:pt idx="43">21713.256944355</cx:pt>
          <cx:pt idx="44">12179.3560573481</cx:pt>
          <cx:pt idx="45">13220.7512842491</cx:pt>
          <cx:pt idx="46">5602.45986431837</cx:pt>
          <cx:pt idx="47">33874.2845678702</cx:pt>
          <cx:pt idx="48">11477.9093246092</cx:pt>
          <cx:pt idx="49">2762.3609321366</cx:pt>
          <cx:pt idx="50">2663.4356683702</cx:pt>
          <cx:pt idx="51">11355.4458630155</cx:pt>
          <cx:pt idx="52">5132.34205297194</cx:pt>
          <cx:pt idx="53">12613.1860860973</cx:pt>
          <cx:pt idx="54">3149.18885575607</cx:pt>
          <cx:pt idx="55">15195.9577715083</cx:pt>
          <cx:pt idx="56">21433.2007883116</cx:pt>
          <cx:pt idx="57">5501.77880083211</cx:pt>
          <cx:pt idx="58">11375.7617009163</cx:pt>
          <cx:pt idx="59">13286.583896121</cx:pt>
          <cx:pt idx="60">11856.5092315897</cx:pt>
          <cx:pt idx="61">16135.970517504</cx:pt>
          <cx:pt idx="62">11627.3358682577</cx:pt>
          <cx:pt idx="63">18432.0422385703</cx:pt>
          <cx:pt idx="64">10870.6169748679</cx:pt>
          <cx:pt idx="65">0</cx:pt>
          <cx:pt idx="66">4901.73967133742</cx:pt>
          <cx:pt idx="67">17269.8523667408</cx:pt>
          <cx:pt idx="68">15145.1056489954</cx:pt>
          <cx:pt idx="69">15610.721461568</cx:pt>
          <cx:pt idx="70">8975.4621497471</cx:pt>
          <cx:pt idx="71">6575.7561499834</cx:pt>
          <cx:pt idx="72">12508.4646480157</cx:pt>
          <cx:pt idx="73">0</cx:pt>
          <cx:pt idx="74">6670.595296577</cx:pt>
          <cx:pt idx="75">8576.2939139734</cx:pt>
          <cx:pt idx="76">1177.76814019308</cx:pt>
          <cx:pt idx="77">935.7034827466</cx:pt>
          <cx:pt idx="78">14167.0918901276</cx:pt>
          <cx:pt idx="79">9017.5601230352</cx:pt>
          <cx:pt idx="80">12767.6103536272</cx:pt>
          <cx:pt idx="81">17423.1966093124</cx:pt>
          <cx:pt idx="82">21322.8711481555</cx:pt>
          <cx:pt idx="83">21008.9135771035</cx:pt>
          <cx:pt idx="84">20150.5552149378</cx:pt>
          <cx:pt idx="85">9250.0531420286</cx:pt>
          <cx:pt idx="86">20837.9058358027</cx:pt>
          <cx:pt idx="87">16064.5252117014</cx:pt>
          <cx:pt idx="88">9406.823855394</cx:pt>
          <cx:pt idx="89">20409.2837202246</cx:pt>
          <cx:pt idx="90">11668.0164546473</cx:pt>
          <cx:pt idx="91">146.456145588308</cx:pt>
          <cx:pt idx="92">5201.07711505843</cx:pt>
          <cx:pt idx="93">17001.827713981</cx:pt>
          <cx:pt idx="94">32003.7495521014</cx:pt>
          <cx:pt idx="95">15921.6777001042</cx:pt>
          <cx:pt idx="96">17704.1622600576</cx:pt>
          <cx:pt idx="97">17798.8747645635</cx:pt>
          <cx:pt idx="98">8167.32587278821</cx:pt>
          <cx:pt idx="99">18763.4393705288</cx:pt>
          <cx:pt idx="100">10814.523889136</cx:pt>
          <cx:pt idx="101">11814.3086774275</cx:pt>
          <cx:pt idx="102">22469.1982702701</cx:pt>
          <cx:pt idx="103">17138.7407726492</cx:pt>
          <cx:pt idx="104">10612.388691667</cx:pt>
          <cx:pt idx="105">21186.8107407703</cx:pt>
          <cx:pt idx="106">15734.8220136249</cx:pt>
          <cx:pt idx="107">18363.1025401759</cx:pt>
          <cx:pt idx="108">16477.9132910247</cx:pt>
          <cx:pt idx="109">21237.8788682749</cx:pt>
          <cx:pt idx="110">22217.5638236571</cx:pt>
          <cx:pt idx="111">24696.4939514932</cx:pt>
          <cx:pt idx="112">14370.6254357006</cx:pt>
          <cx:pt idx="113">35575.7217812119</cx:pt>
          <cx:pt idx="114">816.971591999754</cx:pt>
          <cx:pt idx="115">18591.283392167</cx:pt>
          <cx:pt idx="116">25530.8075474808</cx:pt>
          <cx:pt idx="117">17950.3738445113</cx:pt>
          <cx:pt idx="118">14256.7453303549</cx:pt>
          <cx:pt idx="119">26580.500857532</cx:pt>
          <cx:pt idx="120">22470.005446818</cx:pt>
          <cx:pt idx="121">29064.876584895</cx:pt>
          <cx:pt idx="122">31756.8444779376</cx:pt>
          <cx:pt idx="123">6403.63374711014</cx:pt>
          <cx:pt idx="124">24333.7533583748</cx:pt>
          <cx:pt idx="125">26212.7012001351</cx:pt>
          <cx:pt idx="126">36373.9398062229</cx:pt>
          <cx:pt idx="127">29631.3326225267</cx:pt>
          <cx:pt idx="128">17261.3633958157</cx:pt>
          <cx:pt idx="129">13578.5010251915</cx:pt>
          <cx:pt idx="130">10658.6592346197</cx:pt>
          <cx:pt idx="131">23710.9086492332</cx:pt>
          <cx:pt idx="132">4593.51191690657</cx:pt>
          <cx:pt idx="133">21221.3715394377</cx:pt>
          <cx:pt idx="134">33357.100405707</cx:pt>
          <cx:pt idx="135">33641.3175000111</cx:pt>
          <cx:pt idx="136">17791.1781656498</cx:pt>
          <cx:pt idx="137">5828.67393401684</cx:pt>
          <cx:pt idx="138">19594.0126695554</cx:pt>
          <cx:pt idx="139">23066.1223804113</cx:pt>
          <cx:pt idx="140">240.38791256025</cx:pt>
          <cx:pt idx="141">0</cx:pt>
          <cx:pt idx="142">10157.2775428998</cx:pt>
          <cx:pt idx="143">14143.1153360521</cx:pt>
          <cx:pt idx="144">0</cx:pt>
          <cx:pt idx="145">17565.3619998833</cx:pt>
          <cx:pt idx="146">27863.479558588</cx:pt>
          <cx:pt idx="147">18866.7238625989</cx:pt>
          <cx:pt idx="148">11893.7303022598</cx:pt>
          <cx:pt idx="149">22929.6754377778</cx:pt>
          <cx:pt idx="150">31687.2226585168</cx:pt>
          <cx:pt idx="151">35424.0180649562</cx:pt>
          <cx:pt idx="152">11549.2591839633</cx:pt>
          <cx:pt idx="153">12551.5450826846</cx:pt>
          <cx:pt idx="154">19494.3547876086</cx:pt>
          <cx:pt idx="155">12194.6593617089</cx:pt>
          <cx:pt idx="156">13787.1163724107</cx:pt>
          <cx:pt idx="157">22356.0912354209</cx:pt>
          <cx:pt idx="158">4552.9484532075</cx:pt>
          <cx:pt idx="159">12025.1295492984</cx:pt>
          <cx:pt idx="160">16217.1043166076</cx:pt>
          <cx:pt idx="161">4106.3410799019</cx:pt>
          <cx:pt idx="162">31227.7914099162</cx:pt>
          <cx:pt idx="163">25907.2474045446</cx:pt>
          <cx:pt idx="164">1092.54848663695</cx:pt>
          <cx:pt idx="165">17106.0899128555</cx:pt>
          <cx:pt idx="166">17793.4860084555</cx:pt>
          <cx:pt idx="167">21606.7017072113</cx:pt>
          <cx:pt idx="168">17688.7576935464</cx:pt>
          <cx:pt idx="169">19994.963408832</cx:pt>
          <cx:pt idx="170">14488.9734337688</cx:pt>
          <cx:pt idx="171">17863.5057318083</cx:pt>
          <cx:pt idx="172">5839.45144623285</cx:pt>
          <cx:pt idx="173">8688.8301347848</cx:pt>
          <cx:pt idx="174">17534.4846547581</cx:pt>
          <cx:pt idx="175">20284.0576684743</cx:pt>
          <cx:pt idx="176">22037.040494039</cx:pt>
          <cx:pt idx="177">23342.2449718695</cx:pt>
          <cx:pt idx="178">34943.0772666587</cx:pt>
          <cx:pt idx="179">28579.2973636184</cx:pt>
          <cx:pt idx="180">22348.7811717554</cx:pt>
          <cx:pt idx="181">20165.2094483201</cx:pt>
          <cx:pt idx="182">10537.741914019</cx:pt>
          <cx:pt idx="183">18516.2614479545</cx:pt>
          <cx:pt idx="184">7980.37923683878</cx:pt>
          <cx:pt idx="185">19785.8592082106</cx:pt>
          <cx:pt idx="186">9935.38357303478</cx:pt>
          <cx:pt idx="187">18176.8380252528</cx:pt>
          <cx:pt idx="188">6695.55880901171</cx:pt>
          <cx:pt idx="189">20972.1699911519</cx:pt>
          <cx:pt idx="190">28766.7669590213</cx:pt>
          <cx:pt idx="191">1372.99117792863</cx:pt>
          <cx:pt idx="192">5919.80530313449</cx:pt>
          <cx:pt idx="193">24795.4128689948</cx:pt>
          <cx:pt idx="194">21482.3283067439</cx:pt>
          <cx:pt idx="195">25969.002094795</cx:pt>
          <cx:pt idx="196">10749.6428108483</cx:pt>
          <cx:pt idx="197">22939.6344047622</cx:pt>
          <cx:pt idx="198">25969.9798015994</cx:pt>
          <cx:pt idx="199">7111.83453401318</cx:pt>
        </cx:lvl>
      </cx:numDim>
    </cx:data>
  </cx:chartData>
  <cx:chart>
    <cx:title overlay="0">
      <cx:tx>
        <cx:rich>
          <a:bodyPr rot="0" spcFirstLastPara="1" vertOverflow="ellipsis" vert="horz" wrap="square" lIns="0" tIns="0" rIns="0" bIns="0" anchor="ctr" anchorCtr="1"/>
          <a:lstStyle/>
          <a:p>
            <a:pPr algn="ctr">
              <a:defRPr/>
            </a:pPr>
            <a:r>
              <a:rPr lang="en-US"/>
              <a:t>Box and Whisker Plot </a:t>
            </a:r>
          </a:p>
        </cx:rich>
      </cx:tx>
    </cx:title>
    <cx:plotArea>
      <cx:plotAreaRegion>
        <cx:series layoutId="boxWhisker" uniqueId="{51C712F0-B341-4F87-83DB-FFDA19AAEDCC}">
          <cx:tx>
            <cx:txData>
              <cx:f>'[Signature_Assignment_Databases.xlsx]Option 3 - Consumer Food'!$A$1</cx:f>
              <cx:v/>
            </cx:txData>
          </cx:tx>
          <cx:dataId val="0"/>
          <cx:layoutPr>
            <cx:statistics quartileMethod="exclusive"/>
          </cx:layoutPr>
        </cx:series>
        <cx:series layoutId="boxWhisker" uniqueId="{E28ADDB3-22F8-4241-B650-0D9A43348DF4}">
          <cx:tx>
            <cx:txData>
              <cx:f>'[Signature_Assignment_Databases.xlsx]Option 3 - Consumer Food'!$B$1</cx:f>
              <cx:v/>
            </cx:txData>
          </cx:tx>
          <cx:dataId val="1"/>
          <cx:layoutPr>
            <cx:visibility outliers="1"/>
            <cx:statistics quartileMethod="exclusive"/>
          </cx:layoutPr>
        </cx:series>
        <cx:series layoutId="boxWhisker" uniqueId="{552EA5C6-724E-4240-8A4E-325F402B2893}">
          <cx:tx>
            <cx:txData>
              <cx:f>'[Signature_Assignment_Databases.xlsx]Option 3 - Consumer Food'!$C$1</cx:f>
              <cx:v/>
            </cx:txData>
          </cx:tx>
          <cx:dataId val="2"/>
          <cx:layoutPr>
            <cx:statistics quartileMethod="exclusive"/>
          </cx:layoutPr>
        </cx:series>
      </cx:plotAreaRegion>
      <cx:axis id="0">
        <cx:catScaling gapWidth="1"/>
        <cx:majorTickMarks type="cross"/>
        <cx:minorTickMarks type="cross"/>
        <cx:tickLabels/>
      </cx:axis>
      <cx:axis id="1">
        <cx:valScaling/>
        <cx:majorGridlines/>
        <cx:majorTickMarks type="cross"/>
        <cx:minorTickMarks type="cross"/>
        <cx:tickLabels/>
      </cx:axis>
    </cx:plotArea>
  </cx:chart>
  <cx:clrMapOvr bg1="lt1" tx1="dk1" bg2="lt2" tx2="dk2" accent1="accent1" accent2="accent2" accent3="accent3" accent4="accent4" accent5="accent5" accent6="accent6" hlink="hlink" folHlink="folHlink"/>
</cx: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1687</Words>
  <Characters>9620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2019-05-07T01:39:00Z</dcterms:created>
  <dcterms:modified xsi:type="dcterms:W3CDTF">2019-05-07T01:39:00Z</dcterms:modified>
</cp:coreProperties>
</file>